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229/2013 vom 25. September 2013</w:t>
      </w:r>
    </w:p>
    <w:p>
      <w:r>
        <w:t>Bundesgericht, 2013-09-25, FR</w:t>
      </w:r>
    </w:p>
    <w:p>
      <w:r>
        <w:rPr>
          <w:b/>
        </w:rPr>
        <w:t xml:space="preserve">Quelle: </w:t>
      </w:r>
      <w:r>
        <w:t>https://mcp.opencaselaw.ch/entscheid/bger_5A_229_2013</w:t>
      </w:r>
    </w:p>
    <w:p>
      <w:r>
        <w:t>FR: TF 5A 229/2013 du 25 septembre 2013</w:t>
      </w:r>
    </w:p>
    <w:p>
      <w:r>
        <w:t>IT: TF 5A 229/2013 del 25 settembre 2013</w:t>
      </w:r>
    </w:p>
    <w:p>
      <w:pPr>
        <w:pStyle w:val="Heading2"/>
      </w:pPr>
      <w:r>
        <w:t>Regeste</w:t>
      </w:r>
    </w:p>
    <w:p>
      <w:r>
        <w:t>modification d'un jugement de divorce (droit de visite, contribution d'entretien) | Droit de la famille</w:t>
      </w:r>
    </w:p>
    <w:p>
      <w:pPr>
        <w:pStyle w:val="Heading2"/>
      </w:pPr>
      <w:r>
        <w:t>Erwägungen</w:t>
      </w:r>
    </w:p>
    <w:p>
      <w:r>
        <w:rPr>
          <w:b/>
        </w:rPr>
        <w:t>E. 1.1</w:t>
      </w:r>
    </w:p>
    <w:p>
      <w:r>
        <w:t>Le recours en matière civile, dirigé contre une décision finale ( art. 90 LTF ), rendue sur recours par un tribunal supérieur statuant en dernière instance cantonale ( art. 75 al. 1 et 2 LTF ), dans une affaire civile ( art. 72 al. 1 LTF ), de nature pécuniaire dont la valeur litigieuse est supérieure à 30'000 fr. (art. 51 al. 1 let. a et al. 4, 74 al. 1 let. b LTF), a été interjeté en temps utile ( art. 100 al. 1 LTF ) et en la forme prévue par la loi ( art. 42 LTF ), par une partie qui a pris part à la procédure devant l'autorité précédente et qui a un intérêt à l'annulation ou à la modification de l'arrêt entrepris ( art. 76 al. 1 let. a et b LTF ); il y a donc lieu, en principe, d'entrer en matière sur le recours.</w:t>
      </w:r>
    </w:p>
    <w:p>
      <w:r>
        <w:rPr>
          <w:b/>
        </w:rPr>
        <w:t>E. 1.2</w:t>
      </w:r>
    </w:p>
    <w:p>
      <w:r>
        <w:t>Dans le cadre d'un recours en matière civile des art. 72 ss LTF , qui est une voie de réforme, si le Tribunal fédéral admet le recours, il peut en principe statuer lui-même sur le fond ( art. 107 al. 2 LTF ), en sorte que la partie recourante ne peut se borner à demander l'annulation de la décision attaquée, elle doit prendre des conclusions sur le fond du litige (arrêts 5A_140/2013 du 28 mai 2013 consid. 1.2 et 5A_461/2011 du 14 octobre 2011 consid. 2). Les conclusions réformatoires doivent donc être déterminées et précises, c'est-à-dire indiquer exactement quelles modifications sont demandées; ainsi, celles qui portent sur une somme d'argent doivent être chiffrées ( ATF 134 III 235 consid. 2 p. 237). En l'occurrence, la recourante conclut principalement à l'annulation de l'arrêt et au renvoi de la cause à l'autorité précédente, sans exposer en quoi la Cour de céans serait empêchée de réformer elle-même la décision querellée; la conclusion principale est ainsi irrecevable. Toutefois, à titre subsidiaire, la recourante conclut à ce que l'arrêt entrepris soit annulé et la décision du premier juge réformé en ce sens que l'on peut comprendre qu'elle requiert en réalité que son obligation d'entretien soit supprimée. Le présent recours est donc recevable eu égard à la conclusion subsidiaire, de nature réformatoire et chiffrée.</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de tels griefs ont été invoqués et motivés par le recourant ("principe d'allégation", art. 106 al. 2 LTF ; ATF 137 II 305 consid. 3.3 p. 310 s.; 134 I 83 consid. 3.2 p. 88), c'est-à-dire s'ils ont été expressément soulevés et exposés de façon claire et détaillée ( ATF 135 III 232 consid. 1.2 p. 234; 133 II 249 consid. 1.4.2 p. 254).</w:t>
      </w:r>
    </w:p>
    <w:p>
      <w:r>
        <w:rPr>
          <w:b/>
        </w:rPr>
        <w:t>E. 3</w:t>
      </w:r>
    </w:p>
    <w:p>
      <w:r>
        <w:t>Le recours a pour objet la modification du jugement de divorce en ce qui concerne la fixation de la contribution due par la mère pour l'entretien de chacun des deux enfants des parties, à la suite de l'attribution du droit de garde au père. S'agissant de la situation financière des parties, la Cour d'appel civile du Tribunal cantonal vaudois a constaté que le père travaille en qualité de médecin chef de clinique et réalise un salaire mensuel net d'environ 12'000 fr., alors que la mère, qui occupe un emploi de directrice des ressources humaines, perçoit un salaire mensuel net de 10'046 fr. 60, hors allocations familiales de 365 fr. 30 pour sa fille E.________. Statuant sur l'appel de la mère qui soutenait que les contributions pour l'entretien des enfants C.________ et D.________, fixées en application de la méthode dite "des pourcentages", empiètent sur son minimum vital, la cour cantonale a considéré qu'il était correct que la mère consacre un montant correspondant à 25% de son revenu mensuel net, à savoir 2'511 fr. 65 (10'046 fr. 60 x 25%) pour l'entretien de ses trois enfants, ou 837 fr. 20 pour chacun. Relevant que plusieurs postes de charges allégués par la mère - notamment les arriérés d'impôts par 1'500 fr. par mois et les frais d'avocats par 1'000 fr. par mois - consistaient en des frais temporaires qui n'avaient pas à être pris en considération dans ce contexte au regard de la jurisprudence, et que le coût d'entretien de la fille E.________ était en partie couvert par les allocations familiales perçues (365 fr. 30) non-comptabilisées dans son revenu net, l'autorité d'appel a nié que la mère supportait des charges mensuelles de 9'564 fr. 05, ainsi que celle-ci l'affirmait; partant, la cour cantonale a estimé que les montants fixés pour l'entretien des enfants étaient " parfaitement en rapport avec le niveau de vie et la capacité contributive " de la débirentière et n'avaient pas pour effet d'entamer le minimum vital de celle-ci.</w:t>
      </w:r>
    </w:p>
    <w:p>
      <w:r>
        <w:rPr>
          <w:b/>
        </w:rPr>
        <w:t>E. 4</w:t>
      </w:r>
    </w:p>
    <w:p>
      <w:r>
        <w:t>Dans un premier grief, la recourante se plaint de la violation de la maxime inquisitoire ( art. 296 al. 1 CPC ), considérant que la cour cantonale devait instruire la cause de manière plus précise au sujet des ressources financières du père. Elle estime ainsi que les juges d'appel ne pouvaient pas se contenter de préciser la profession du père et le salaire qu'il perçoit, puis d'ajouter, sans mention du revenu tiré de ces activités, que celui-ci est en outre l'associé gérant d'un cabinet médical constitué en une société à responsabilité limitée et exerce un mandat de gérant d'une société française. Elle considère par ailleurs que l'autorité précédente a violé la maxime inquisitoire applicable en n'examinant pas davantage la question d'éventuels revenus tirés de la fortune. La recourante soutient que les éléments relatifs à la situation financière du parent gardien, en l'occurrence, devaient être connus pour déterminer la quotité de la contribution d'entretien des enfants.</w:t>
      </w:r>
    </w:p>
    <w:p>
      <w:r>
        <w:rPr>
          <w:b/>
        </w:rPr>
        <w:t>E. 4.1</w:t>
      </w:r>
    </w:p>
    <w:p>
      <w:r>
        <w:t>En vertu de l' art. 296 al. 1 CPC , la maxime inquisitoire s'applique lorsque le juge est saisi de questions relatives aux enfants dans les affaires de droit de la famille.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 ATF 128 III 411 consid. 3.2.1 p. 413, arrêt 5A_442/2013 du 24 juillet 2013 consid. 5.1).</w:t>
      </w:r>
    </w:p>
    <w:p>
      <w:r>
        <w:rPr>
          <w:b/>
        </w:rPr>
        <w:t>E. 4.2</w:t>
      </w:r>
    </w:p>
    <w:p>
      <w:r>
        <w:t>En l'occurrence, il ressort de la décision entreprise que l'autorité d'appel a déterminé le revenu mensuel net de chaque partie tiré de leur profession, sans examiner les éventuelles ressources annexes de chacune. La cour cantonale a ensuite statué selon la méthode "des pourcentages", tout en vérifiant que la capacité contributive de la débirentière lui permettait de s'acquitter des montants ainsi déterminés et que la quotité des contributions n'était pas en disproportion avec le train de vie du parent gardien. On ne voit donc pas - et la recourante ne l'expose au demeurant pas - la raison pour laquelle il aurait été nécessaire que l'autorité précédente examine précisément les ressources financières annexes du père, dès lors qu'elle a appliqué une méthode, que la recourante ne critique dorénavant plus, tendant à déterminer un pourcentage sur le revenu mensuel net du parent débiteur des contributions d'entretien et que le niveau de vie du parent gardien a été pris en considération. Quoi qu'il en soit, la recourante, qui reproche à la cour cantonale de ne pas avoir instruit la cause conformément à la maxime inquisitoire, et en particulier se plaint du fait que l'autorité n'a pas administré de preuves sur le fait pertinent que constitue l'établissement des revenus accessoires du parent gardien, n'allègue pas non plus avoir invité la cour cantonale à instruire plus avant ce sujet ou offert de preuve sur cette question; cela ne ressort pas non plus de son mémoire d'appel, en sorte que le grief concernant l'établissement des revenus accessoires et de la fortune du parent gardien est un moyen nouveau dans le recours en matière civile. Or, le recours n'est ouvert qu'à l'encontre des décisions rendues par une autorité cantonale de dernière instance, ce qui suppose que la partie recourante ait épuisé les voies de droit quant aux griefs qu'elle entend soumettre au Tribunal fédéral, partant le grief relatif à l'établissement des revenus accessoires et de la fortune du père, qui n'a pas été présenté devant l'autorité précédente est irrecevable (principe de "l'épuisement des griefs", art. 75 al. 1 LTF ; ATF 135 III 1 consid. 1.2 p. 3 s. et 424 consid. 3.2 p. 429; 134 III 524 consid. 1.3 p. 527).</w:t>
      </w:r>
    </w:p>
    <w:p>
      <w:r>
        <w:rPr>
          <w:b/>
        </w:rPr>
        <w:t>E. 4.3</w:t>
      </w:r>
    </w:p>
    <w:p>
      <w:r>
        <w:t>A titre subsidiaire, la recourante se plaint de la même prétendue lacune d'instruction au sujet des sources de revenus du père, mais sous couvert de la violation du droit d'être entendu ( art. 29 al. 2 Cst. ), en tant que trois allégués de son mémoire de droit déposé en première instance n'ont pas été pris en considération alors que, selon elle, ils démontrent que " la situation financière [ du père ]est nettement supérieure à la moyenne et lui permet de subvenir seul à l'entretien de ses deux enfants en leur offrant des conditions de vie dépassant largement leurs minimums vitaux ". Ainsi qu'il a été exposé au considérant ci-dessus, la recourante n'a présenté devant la cour cantonale aucun moyen en relation avec l'instruction de la cause s'agissant des revenus accessoires et de la fortune du parent gardien, en sorte que le grief doit d'emblée être déclaré irrecevable, faute d'épuisement des griefs ( art. 75 al. 1 LTF , cf. supra consid. 4.2).</w:t>
      </w:r>
    </w:p>
    <w:p>
      <w:r>
        <w:rPr>
          <w:b/>
        </w:rPr>
        <w:t>E. 5</w:t>
      </w:r>
    </w:p>
    <w:p>
      <w:r>
        <w:t>La recourante critique, dans un deuxième grief, l'application de l' art. 285 CC , précisant que les critères énoncés par cette norme pour déterminer la contribution pour l'entretien de l'enfant sont cumulatifs. Elle reproche aux juges d'appel d'avoir abusé de leur pouvoir d'appréciation et, concrètement, de ne pas avoir pris en considération l'entier des revenus et de la fortune du père, de ne pas avoir inclus à son minimum vital sa charge fiscale et enfin de ne pas avoir majoré son minimum vital d'un supplément forfaitaire de 20%.</w:t>
      </w:r>
    </w:p>
    <w:p>
      <w:r>
        <w:rPr>
          <w:b/>
        </w:rPr>
        <w:t>E. 5.1</w:t>
      </w:r>
    </w:p>
    <w:p>
      <w:r>
        <w:t>A teneur de l' art. 285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p. 289 s.; arrêts 5A_234/2011 du 21 novembre 2011 consid. 4.4.1 et 5A_220/2010 du 20 août 2010 consid. 2.1). La loi ne prescrit pas toutefois de méthode de calcul particulière pour arrêter la contribution d'entretien ( ATF 128 III 411 consid. 3.2.2 p. 414 s.); sa fixation relève de l'appréciation du juge, qui jouit d'un large pouvoir d'appréciation ( ATF 127 III 136 consid. 3a p. 141; 120 II 285 consid. 3b/bb p. 291; arrêt 5A_507/2007 du 23 avril 2008 consid. 5.1) et applique les règles du droit et de l'équité ( art. 4 CC ;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p. 183; 130 III 571 consid. 4.3 p. 576; 128 III 161 consid. 2c/aa p. 162).</w:t>
      </w:r>
    </w:p>
    <w:p>
      <w:r>
        <w:rPr>
          <w:b/>
        </w:rPr>
        <w:t>E. 5.2</w:t>
      </w:r>
    </w:p>
    <w:p>
      <w:r>
        <w:t>Pour déterminer si les contributions alimentaires étaient adéquates au regard des ressources de la recourante, la juridiction précédente s'est référée à la pratique vaudoise qui part, en principe, d'un pourcentage du revenu mensuel ou de la capacité de gain du débirentier, dont la proportion varie en fonction du nombre d'enfants à charge, tout en précisant qu'il s'agit là d'un taux approximatif qui doit être pondéré au vu des circonstances, selon l'équité; elle a ainsi considéré que le taux retenu par le premier juge, qui correspondait à 25% du revenu net de la recourante, hors allocations familiales (à savoir 2'511 fr. 60 par mois pour trois enfants), était correct. Selon la jurisprudence, la méthode abstraite dite "des pourcentages",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 ATF 116 II 110 consid. 3a p. 112; arrêt 5A_178/2008 du 23 avril 2008 consid. 3.3 et les références). En fixant une proportion nettement inférieure (25%) à ce qui est accepté pour l'entretien de trois enfants, correspondant même à la fourchette basse du pourcentage prévu pour deux enfants, alors que la débirentière dispose d'un revenu net supérieur à la moyenne, les juges cantonaux n'ont à tout le moins pas excédé leur marge d'appréciation. S'agissant de la critique sous l'angle particulier de l'établissement des ressources financières du parent gardien, ainsi qu'il a déjà été exposé aux considérants précédents, le moyen est irrecevable, faute d'épuisement du grief devant l'autorité cantonale (art. 75 a. 1 LTF, cf. supra consid. 4.2 et 4.3). La critique portant sur la prise en considération des arriérés d'impôts de la recourante à hauteur de 1'500 fr. est également irrecevable, la critique ne satisfaisant pas à l'exigence minimale de motivation ( art. 42 al. 2 LTF , cf. supra consid. 2). La recourante se limite en effet à affirmer que "l'autorité de dernière instance n'a pas tenu compte, dans le minimum vital élargi de la recourante, de ses impôts", sans expliciter son reproche, en particulier sans s'en prendre à la motivation de la cour cantonale qui a refusé de tenir compte de ce poste de charges, jugeant qu'il s'agissait de frais temporaires. Il en va de même de la majoration forfaitaire de 20%, uniquement requise par la recourante, sans référence aux considérants de la décision querellée. Quoi qu'il en soit, concernant la majoration forfaitaire de 20%, opérée sous l'ancien droit du divorce en relation avec les pensions alimentaires au sens de l'art. 152 aCC, il convient de relever que ce supplément - qui ne porte au demeurant que sur la seule base mensuelle et non sur les autres postes du minimum vital ( ATF 129 III 385 consid. 5.2.2 p. 390 s.) - ne se justifie en principe plus en droit actuel (arrêt 5A_673/2011 du 11 avril 2012 consid. 2.3.2). En définitive, les juges précédents n'ont pas abusé de leur pouvoir d'appréciation dans l'application de l' art. 285 CC en statuant selon la méthode "des pourcentages" pour arrêter les contributions d'entretien et le grief, autant que recevable, doit être rejeté.</w:t>
      </w:r>
    </w:p>
    <w:p>
      <w:r>
        <w:rPr>
          <w:b/>
        </w:rPr>
        <w:t>E. 6</w:t>
      </w:r>
    </w:p>
    <w:p>
      <w:r>
        <w:t>Dans un troisième reproche, la recourante fait valoir que la cour précédente a commis un déni de justice formel ( art. 29 al. 1 Cst. ), en ne statuant pas sur sa conclusion subsidiaire d'appel consistant à lui impartir un délai de six mois suivant l'arrêt définitif et exécutoire pour débuter son obligation d'entretien, dans l'hypothèse où son loyer serait jugé excessif, vu les usages en matière de résiliation des baux à loyer.</w:t>
      </w:r>
    </w:p>
    <w:p>
      <w:r>
        <w:rPr>
          <w:b/>
        </w:rPr>
        <w:t>E. 6.1</w:t>
      </w:r>
    </w:p>
    <w:p>
      <w:r>
        <w:t>Sous couvert de déni de justice, faute de trouver une réponse à sa conclusion subsidiaire, il apparaît que la recourante se plaint en réalité de la violation de son droit à une motivation découlant de la garantie du droit d'être entendu ( art. 29 al. 2 Cst. ). Le droit d'être entendu garanti par l' art. 29 al. 2 Cst.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 ATF 135 III 670 consid. 3.3.1 p. 677).</w:t>
      </w:r>
    </w:p>
    <w:p>
      <w:r>
        <w:rPr>
          <w:b/>
        </w:rPr>
        <w:t>E. 6.2</w:t>
      </w:r>
    </w:p>
    <w:p>
      <w:r>
        <w:t>En l'espèce, le grief de violation du droit d'être entendu ( art. 29 al. 2 Cst. ) de la recourante est infondé. L'autorité cantonale a motivé sa décision en constatant que le minimum vital de la débirentière n'était pas atteint par le montant des contributions d'entretien fixées, sans revoir le poste de charge consacré aux frais de logement. N'ayant pas modifié le montant retenu pour les frais de logement de la débirentière, la cour cantonale n'avait ainsi pas à statuer sur la conclusion en cause, pertinente uniquement dans l'hypothèse - non réalisée en l'espèce - d'une diminution de ses charges de logement. Outre l'absence de pertinence de statuer sur une conclusion dénuée de fondement dans le cas d'espèce, il sied de rappeler que, en vertu de l' art. 296 CPC , la maxime d'office s'applique lorsque le juge est saisi de questions relatives aux enfants dans les affaires de droit de la famille. Or, l'application de dite maxime - qui s'étend à la procédure devant les deux instances cantonales - a pour conséquence que le juge n'est pas lié par les conclusions des parents ( art. 296 al. 3 CPC ; ATF 129 III 417 consid. 2.1.2 p 420; 128 III 411 consid. 3.2.2. p. 414), en sorte que l'autorité cantonale ne viole pas le droit d'être entendu de la recourante en statuant sur l'objet du litige, à savoir les contributions pour l'entretien des enfants, sans motiver en détail les motifs justifiant d'écarter les conclusions précises des parties.</w:t>
      </w:r>
    </w:p>
    <w:p>
      <w:r>
        <w:rPr>
          <w:b/>
        </w:rPr>
        <w:t>E. 7</w:t>
      </w:r>
    </w:p>
    <w:p>
      <w:r>
        <w:t>Vu ce qui précède, le recours doit être rejeté dans la mesure de sa recevabilité. La recourante, dont la requête d'effet suspensif a d'emblée été rejetée et qui succombe au fond, supportera les frais judiciaires ( art. 66 al. 1 LTF ). Il n'y a pas lieu d'allouer d'indemnité de dépens à l'intimé qui n'a été invité à déposer de réponse ni sur l'effet suspensif, ni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