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5A_229/2007 vom 31. August 2007</w:t>
      </w:r>
    </w:p>
    <w:p>
      <w:r>
        <w:t>Bundesgericht, 2007-08-31, DE</w:t>
      </w:r>
    </w:p>
    <w:p>
      <w:r>
        <w:rPr>
          <w:b/>
        </w:rPr>
        <w:t xml:space="preserve">Quelle: </w:t>
      </w:r>
      <w:r>
        <w:t>https://mcp.opencaselaw.ch/entscheid/bger_5A_229_2007</w:t>
      </w:r>
    </w:p>
    <w:p>
      <w:r>
        <w:t>FR: TF 5A_229/2007 du 31 août 2007</w:t>
      </w:r>
    </w:p>
    <w:p>
      <w:r>
        <w:t>IT: TF 5A_229/2007 del 31 agosto 2007</w:t>
      </w:r>
    </w:p>
    <w:p>
      <w:pPr>
        <w:pStyle w:val="Heading2"/>
      </w:pPr>
      <w:r>
        <w:t>Erwägungen</w:t>
      </w:r>
    </w:p>
    <w:p>
      <w:r>
        <w:rPr>
          <w:b/>
        </w:rPr>
        <w:t>E. 1.1</w:t>
      </w:r>
    </w:p>
    <w:p>
      <w:r>
        <w:t>Der angefochtene Entscheid ist nach Inkrafttreten des Bundesgesetzes über das Bundesgericht vom 17. Juni 2005 (BGG; SR 173.110) ergangen, weshalb das neue Recht anzuwenden ist ( Art. 132 Abs. 1 BGG ).</w:t>
      </w:r>
    </w:p>
    <w:p>
      <w:r>
        <w:rPr>
          <w:b/>
        </w:rPr>
        <w:t>E. 1.2</w:t>
      </w:r>
    </w:p>
    <w:p>
      <w:r>
        <w:t>Angefochten ist ein selbständig eröffneter, letztinstanzlicher Entscheid über ein Ausstandsbegehren (Art. 92 Abs. 1 und 75 Abs. 1 BGG). Dabei handelt es sich um einen Zwischenentscheid, dessen Rechtsweg jenem der Hauptsache folgt (Urteil 5A_108/2007 vom 11. Mai 2007). In dieser geht es um die Errichtung einer Beistandschaft im Rahmen von Kindesschutzmassnahmen, mithin um eine öffentlich-rechtliche Angelegenheit, die in unmittelbarem Zusammenhang mit dem Zivilrecht steht (Art. 72 Abs. 2 lit. b Ziff. 7 BGG). Die Beschwerde in Zivilsachen ist damit gegeben.</w:t>
      </w:r>
    </w:p>
    <w:p>
      <w:r>
        <w:rPr>
          <w:b/>
        </w:rPr>
        <w:t>E. 1.3</w:t>
      </w:r>
    </w:p>
    <w:p>
      <w:r>
        <w:t>Die Beschwerdeführer weisen zu Recht darauf hin, dass der angefochtene Entscheid mit keiner Rechtsmittelbelehrung versehen wurde ( Art. 112 Abs. 1 lit. d BGG sowie bereits Art. 118 Abs. 3 in Verbindung mit Art. 117 Abs. 6 EGzZGB). Da es ihnen gleichwohl möglich war, rechtzeitig das zulässige Rechtsmittel zu ergreifen, und ihnen demnach kein Nachteil erwachsen ist ( Art. 49 BGG ), braucht auf die diesbezüglichen Ausführungen der Beschwerdeführer nicht eingetreten zu werden.</w:t>
      </w:r>
    </w:p>
    <w:p>
      <w:r>
        <w:rPr>
          <w:b/>
        </w:rPr>
        <w:t>E. 1.4</w:t>
      </w:r>
    </w:p>
    <w:p>
      <w:r>
        <w:t>Aus dem Rechtsbegehren, die Beschwerde sei gutzuheissen, geht nicht hervor, inwieweit der Entscheid angefochten wird. Der Begründung der Eingabe (S. 11-16) lässt sich indes entnehmen, dass der bezirksgerichtliche Entscheid angefochten wird, soweit das Ausstandsbegehren abgewiesen wurde (Dispositiv-Ziff. 1). Die Beschwerdeführerin macht wohl nur für den Fall des Obsiegens eine Parteientschädigung geltend.</w:t>
      </w:r>
    </w:p>
    <w:p>
      <w:r>
        <w:rPr>
          <w:b/>
        </w:rPr>
        <w:t>E. 1.5</w:t>
      </w:r>
    </w:p>
    <w:p>
      <w:r>
        <w:t>Ob dem Beschwerdeführer X.________ von Amtes wegen ein Prozessbeistand infolge einer Interessenkollision ( Art. 392 Abs. 1 Ziff. 2 ZGB ) hätte bestellt werden müssen, kann vorliegend offen bleiben, da der Beschwerde ohnehin kein Erfolg beschieden ist.</w:t>
      </w:r>
    </w:p>
    <w:p>
      <w:r>
        <w:rPr>
          <w:b/>
        </w:rPr>
        <w:t>E. 2</w:t>
      </w:r>
    </w:p>
    <w:p>
      <w:r>
        <w:t>Zur Beschwerde in Zivilsachen ist berechtigt, wer unter anderm ein rechtlich geschütztes Interesse an der Aufhebung oder Änderung des angefochtenen Entscheides hat ( Art. 76 Abs. 1 lit. b BGG ). Nach ständiger Rechtsprechung setzt die Einreichung eines Rechtsmittels in der Regel ein aktuelles und praktisches Rechtsschutzinteresse im Sinne einer Eintretensvoraussetzung voraus ( BGE 123 II 285 E. 4). Der Beschwerdeführer muss eine Verletzung seiner Rechte geltend machen. Dies setzt praxisgemäss voraus, dass er aktuelle und praktische Interessen wahrnimmt und nicht faktisch irrelevante Rechtsfragen aufwirft ( BGE 120 Ia 258 E. 1).</w:t>
      </w:r>
    </w:p>
    <w:p>
      <w:r>
        <w:t>Zwar wies das Bezirksgericht das gegen die Mitglieder des Vormundschaftsamtes gerichtete Ausstandsbegehren ab, gegen welchen Beschluss sich die vorliegende Beschwerde richtet. Zugleich hiess es mit einem separaten Urteil die Berufung in der Hauptsache gut und hob die vom selben Vormundschaftsamt errichtete Beistandschaft auf. Damit fehlt nicht nur das rechtliche geschützte Interesse an der Überprüfung des ebenfalls angefochtenen Urteils (5A_231/2007 E. 2), sondern ebenso an der Überprüfung des Ausstandsentscheides eine Behörde betreffend, deren Beschluss gerade aufgehoben worden ist. Denn die Ausstandsfrage stellt sich immer nur im Zusammenhang mit einem konkreten Verfahren der fraglichen Behörde. Auf die Beschwerde kann daher nicht eingetreten werden.</w:t>
      </w:r>
    </w:p>
    <w:p>
      <w:r>
        <w:rPr>
          <w:b/>
        </w:rPr>
        <w:t>E. 3</w:t>
      </w:r>
    </w:p>
    <w:p>
      <w:r>
        <w:t>Nach dem Gesagten ist der Beschwerde kein Erfolg beschieden. Ausgangsgemäss tragen die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