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5A_225/2019 vom 18. März 2019</w:t>
      </w:r>
    </w:p>
    <w:p>
      <w:r>
        <w:t>Bundesgericht, 2019-03-18, DE</w:t>
      </w:r>
    </w:p>
    <w:p>
      <w:r>
        <w:rPr>
          <w:b/>
        </w:rPr>
        <w:t xml:space="preserve">Quelle: </w:t>
      </w:r>
      <w:r>
        <w:t>https://mcp.opencaselaw.ch/entscheid/bger_5A_225_2019</w:t>
      </w:r>
    </w:p>
    <w:p>
      <w:r>
        <w:t>FR: TF 5A_225/2019 du 18 mars 2019</w:t>
      </w:r>
    </w:p>
    <w:p>
      <w:r>
        <w:t>IT: TF 5A_225/2019 del 18 marzo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die Bitte um Hilfe bei der Suche nach einer aufrichtigen Lösung sowie unzusammenhängende Einzelaussagen (sie habe irrtümlicherweise Recht; man genehmige sich bestimmt lieber eins als ihre Eingabe zu bejahen; ihre Wut gehe an Abertausende in der Schweiz; die Verwaltung verteile Schlüssel von ihrer Wohnung; sie sei gerne alleine; die Beiständin habe kein gutes Wort für sie; Aggessivität sei nichts Gutes für sie; beweisen könnten dies ihre Mitmenschen bzw. die Bevölkerung in Bern, Luzern, Biel, Baden und Zürich, denn sie manipuliere dort).</w:t>
      </w:r>
    </w:p>
    <w:p>
      <w:r>
        <w:t>All dies nimmt nicht Bezug auf die Erwägungen des angefochtenen Entscheides, in welchem der Schwächezustand (chronifizierte paranoide Schizophrenie und im Zusammenhang mit der Einweisung eine verbale und enorme körperliche Aggressivität) sowie das selbst- und fremdgefährdende Verhalten, die Erforderlichkeit der Unterbringung und die Eignung der Klinik unter Bezugnahme auf das erstellte Gutachten ebenso ausführlich behandelt wird wie die ernsthafte Gesundheitsgefährdung, die Behandlungsbedürftigkeit und die betreffende Urteilsunfähigkeit sowie der Behandlungsplan unter Bezugnahme auf das erstellte Gutachten. Damit setzt sich die Beschwerdeführerin wie gesagt nicht auseinander, und es ist auch nicht ersichtlich, inwiefern die Vorinstanz mit dem angefochtenen Entscheid Art. 426 oder 434ZGB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