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5A_225/2018 vom 8. März 2018</w:t>
      </w:r>
    </w:p>
    <w:p>
      <w:r>
        <w:t>Bundesgericht, 2018-03-08, DE</w:t>
      </w:r>
    </w:p>
    <w:p>
      <w:r>
        <w:rPr>
          <w:b/>
        </w:rPr>
        <w:t xml:space="preserve">Quelle: </w:t>
      </w:r>
      <w:r>
        <w:t>https://mcp.opencaselaw.ch/entscheid/bger_5A_225_2018</w:t>
      </w:r>
    </w:p>
    <w:p>
      <w:r>
        <w:t>FR: TF 5A_225/2018 du 8 mars 2018</w:t>
      </w:r>
    </w:p>
    <w:p>
      <w:r>
        <w:t>IT: TF 5A_225/2018 del 8 marzo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Der Beschwerdeführer macht geltend, er habe nicht gewusst, dass seine Beschwerdegegnerin die KESB sei, weshalb er Rekurs einlege und um möglichst rasche Bearbeitung bitte.</w:t>
      </w:r>
    </w:p>
    <w:p>
      <w:r>
        <w:t>Darin ist weder ein materielles Begehren noch eine sachgerichtete Begründung zu erkennen. Es ist auch nicht ersichtlich, inwiefern die Abschreibung des Verfahrens gegen Recht verstossen könnte, nachdem der Beschwerdeführer auf kantonaler Ebene seine Beschwerde zurückgezogen hat.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