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224/2008 vom 3. Dezember 2008</w:t>
      </w:r>
    </w:p>
    <w:p>
      <w:r>
        <w:t>Bundesgericht, 2008-12-03, DE</w:t>
      </w:r>
    </w:p>
    <w:p>
      <w:r>
        <w:rPr>
          <w:b/>
        </w:rPr>
        <w:t xml:space="preserve">Quelle: </w:t>
      </w:r>
      <w:r>
        <w:t>https://mcp.opencaselaw.ch/entscheid/bger_5A_224_2008</w:t>
      </w:r>
    </w:p>
    <w:p>
      <w:r>
        <w:t>FR: TF 5A 224/2008 du 3 décembre 2008</w:t>
      </w:r>
    </w:p>
    <w:p>
      <w:r>
        <w:t>IT: TF 5A 224/2008 del 3 dicembre 2008</w:t>
      </w:r>
    </w:p>
    <w:p>
      <w:pPr>
        <w:pStyle w:val="Heading2"/>
      </w:pPr>
      <w:r>
        <w:t>Regeste</w:t>
      </w:r>
    </w:p>
    <w:p>
      <w:r>
        <w:t>Aussonderungsklage | Schuldbetreibungs- und Konkursrecht</w:t>
      </w:r>
    </w:p>
    <w:p>
      <w:pPr>
        <w:pStyle w:val="Heading2"/>
      </w:pPr>
      <w:r>
        <w:t>Erwägungen</w:t>
      </w:r>
    </w:p>
    <w:p>
      <w:r>
        <w:rPr>
          <w:b/>
        </w:rPr>
        <w:t>E. 1.1</w:t>
      </w:r>
    </w:p>
    <w:p>
      <w:r>
        <w:t>Angefochten ist ein letztinstanzlicher Entscheid über einen Aussonderungsanspruch im Konkurs, mithin eine betreibungsrechtliche Streitigkeit mit Reflexwirkung auf das materielle Recht, die auch unter neuem Verfahrensrecht als Zivilsache mit Vermögenswert zu behandeln ist ( Art. 72 Abs. 2 lit. a BGG ; vgl. Urteil 5C.200/2004 vom 2. Juni 2004 E. 1.1, nicht publ. in BGE 131 III 595 ). Die gesetzliche Streitwertgrenze wird nicht erreicht ( Art. 74 Abs. 1 lit. b BGG ).</w:t>
      </w:r>
    </w:p>
    <w:p>
      <w:r>
        <w:rPr>
          <w:b/>
        </w:rPr>
        <w:t>E. 1.2</w:t>
      </w:r>
    </w:p>
    <w:p>
      <w:r>
        <w:t>Damit ist die Beschwerde in Zivilsachen nur gegeben, sofern sich eine Rechtsfrage von grundsätzlicher Bedeutung stellt ( Art. 74 Abs. 2 lit. a BGG ). In der Beschwerdeschrift ist darzulegen, warum eine Rechtsfrage von grundsätzlicher Bedeutung vorliegt ( Art. 42 BGG ; BGE 134 III 354 E. 1.3).</w:t>
      </w:r>
    </w:p>
    <w:p>
      <w:r>
        <w:rPr>
          <w:b/>
        </w:rPr>
        <w:t>E. 1.2.1</w:t>
      </w:r>
    </w:p>
    <w:p>
      <w:r>
        <w:t>Im vorliegenden Fall weist die Beschwerdeführerin im Wesentlichen auf die unterschiedliche Praxis der Erst- und der Vorinstanz hin.</w:t>
      </w:r>
    </w:p>
    <w:p>
      <w:r>
        <w:rPr>
          <w:b/>
        </w:rPr>
        <w:t>E. 1.2.2</w:t>
      </w:r>
    </w:p>
    <w:p>
      <w:r>
        <w:t>Das Bundesgericht nimmt nur mit Zurückhaltung eine Frage von grundsätzlicher Bedeutung an ( BGE 133 III 493 E. 1.1). Entscheidend ist nicht die jeweils konkrete Rechtsfrage, sondern das allgemeine Interesse an einem Präjudiz. Ein entsprechendes Interesse wurde hinsichtlich einer umstrittenen Zuständigkeitsfrage wegen deren präjudiziellen Wirkung bejaht ( BGE 133 III 645 E. 2), ferner hinsichtlich der Frage, ob die für den Entscheid über die Beiträge zuständige BVG-Auffangeinrichtung den Rechtsvorschlag aufheben könne ( BGE 134 III 115 E. 1 S. 117 f.); angenommen wurde das allgemeine Interesse ferner hinsichtlich einer Rechtsfrage, die infolge der Streitwertgrenze kaum je dem Bundesgericht unterbreitet werden könnte ( BGE 134 III 267 E. 1.2.3 S. 270 f.), schliesslich hinsichtlich einer Rechtsfrage die vom Bundesgericht selber unterschiedlich beantwortet wurde ( BGE 134 III 354 E. 1.3 ff. S. 356 ff.). Der Umstand, dass die Vorinstanzen gegensätzlich entschieden haben, lässt nicht zwingend auf eine Rechtsfrage von grundsätzlicher Bedeutung schliessen. Im vorliegenden Fall ist keine der aufgezeigten Konstellationen gegeben und besteht kein allgemeines Interesse an einer höchstrichterlichen freien Prüfung der Frage, wer als gutgläubiger Dritter i.S. von Art. 102 Abs. 3 IPRG zu gelten habe, zumal sich diese Frage in der Praxis selten stellen dürfte und auch nicht gesagt werden kann, dass sie, sofern sie sich wieder einmal stellen sollte, mit Blick auf den erforderlichen Streitwert kaum jemals dem Bundesgericht zur freien Prüfung unterbreitet werden könnte. Auf die Beschwerde in Zivilsachen ist damit im Verfahren nach Art. 109 Abs. 1 BGG nicht einzutreten.</w:t>
      </w:r>
    </w:p>
    <w:p>
      <w:r>
        <w:rPr>
          <w:b/>
        </w:rPr>
        <w:t>E. 2</w:t>
      </w:r>
    </w:p>
    <w:p>
      <w:r>
        <w:t>Da die vorliegende Eingabe die qualifizierten Begründungsanforderungen nicht erfüllt, die an die subsidiäre Verfassungsbeschwerde gestellt werden, kann die Eingabe auch nicht als solche entgegengenommen werden ( BGE 133 II 396 E. 3.1 und 3.2).</w:t>
      </w:r>
    </w:p>
    <w:p>
      <w:r>
        <w:rPr>
          <w:b/>
        </w:rPr>
        <w:t>E. 3</w:t>
      </w:r>
    </w:p>
    <w:p>
      <w:r>
        <w:t>Bei diesem Ausgang des Verfahrens wird die Beschwerdeführerin kostenpflichtig ( Art. 66 Abs. 1 BGG ) und hat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