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21/2018 vom 30. Juli 2018</w:t>
      </w:r>
    </w:p>
    <w:p>
      <w:r>
        <w:t>Bundesgericht, 2018-07-30, DE</w:t>
      </w:r>
    </w:p>
    <w:p>
      <w:r>
        <w:rPr>
          <w:b/>
        </w:rPr>
        <w:t xml:space="preserve">Quelle: </w:t>
      </w:r>
      <w:r>
        <w:t>https://mcp.opencaselaw.ch/entscheid/bger_5A_21_2018</w:t>
      </w:r>
    </w:p>
    <w:p>
      <w:r>
        <w:t>FR: TF 5A 21/2018 du 30 juillet 2018</w:t>
      </w:r>
    </w:p>
    <w:p>
      <w:r>
        <w:t>IT: TF 5A 21/2018 del 30 luglio 2018</w:t>
      </w:r>
    </w:p>
    <w:p>
      <w:pPr>
        <w:pStyle w:val="Heading2"/>
      </w:pPr>
      <w:r>
        <w:t>Regeste</w:t>
      </w:r>
    </w:p>
    <w:p>
      <w:r>
        <w:t>Abänderung des Minderjährigenunterhalts | Familienrecht</w:t>
      </w:r>
    </w:p>
    <w:p>
      <w:pPr>
        <w:pStyle w:val="Heading2"/>
      </w:pPr>
      <w:r>
        <w:t>Erwägungen</w:t>
      </w:r>
    </w:p>
    <w:p>
      <w:r>
        <w:rPr>
          <w:b/>
        </w:rPr>
        <w:t>E. 1</w:t>
      </w:r>
    </w:p>
    <w:p>
      <w:r>
        <w:t>Die Beschwerde richtet sich gegen einen letztinstanzlichen kantonalen Endentscheid ( Art. 75 und 90 BGG ) betreffend die Abänderung von Kindesunterhalt. Dabei handelt es sich um eine Zivilsache ( Art. 72 Abs. 1 BGG ) vermögensrechtlicher Natur ( BGE 116 II 493 E. 2a S. 494 f.; jüngst Urteile 5A_90/2017 vom 24. August 2017 E. 1.1 und 5A_399/2016 vom 6. März 2017 E. 2, nicht publ. in: BGE 143 III 177 ). Der Streitwert übersteigt den Betrag von Fr. 30'000.-- (Art. 74 Abs. 1 Bst. b und Art. 51 Abs. 1 Bst. a und Abs. 4 BGG). Die Beschwerde in Zivilsachen ist damit das zutreffende Rechtsmittel. Der Beschwerdeführer ist sodann nach Art. 76 Abs. 1 BGG zur Beschwerde berechtigt. Die Beschwerde erfolgte fristgerecht (Art. 100 Abs. 1, Art. 46 Abs. 1 Bst. c und Art. 45 Abs. 1 BGG ).</w:t>
      </w:r>
    </w:p>
    <w:p>
      <w:r>
        <w:rPr>
          <w:b/>
        </w:rPr>
        <w:t>E. 2.1</w:t>
      </w:r>
    </w:p>
    <w:p>
      <w:r>
        <w:t>Die Beschwerde an das Bundesgericht ist ein reformatorisches Rechtsmittel ( Art. 107 Abs. 2 BGG ). Der Beschwerdeführer muss deshalb grundsätzlich einen Antrag in der Sache stellen, das heisst angeben, welche Punkte des kantonalen Entscheids er anficht und inwiefern das Bundesgericht den angefochtenen Entscheid abändern soll. Rechtsbegehren, die eine Geldsumme zum Gegenstand haben, sind daher zu beziffern ( BGE 143 III 111 E. 1.2 S. 112; 134 III 235 E. 2 S. 236 f., Urteil 5A_346/2016 vom 29. Juni 2017 E. 2.1, nicht publ. in: BGE 143 III 361 ). Für die Auslegung der Rechtsbegehren kann das Bundesgericht die Begründung der Beschwerde heranziehen ( BGE 136 V 131 S. 1.2 S. 136). Auf nicht bezifferte Anträge tritt es deshalb ausnahmsweise ein, sofern sich aus der Beschwerdebegründung, allenfalls in Verbindung mit dem angefochtenen Entscheid, ohne Weiteres ergibt, was der Beschwerdeführer in der Sache verlangt ( BGE 134 III 235 E. 2. S. 236 f.). Ansonst reicht ein nicht bezifferter Antrag nur aus, wenn das Bundesgericht im Falle der Gutheissung der Beschwerde in der Sache naturgemäss nicht selbst entscheiden könnte und die Sache an die kantonale Instanz zurückweisen müsste (vgl. BGE 134 III 379 E. 1.3 S. 383).</w:t>
      </w:r>
    </w:p>
    <w:p>
      <w:r>
        <w:rPr>
          <w:b/>
        </w:rPr>
        <w:t>E. 2.2</w:t>
      </w:r>
    </w:p>
    <w:p>
      <w:r>
        <w:t>Im vorliegenden Fall beschränkt sich der Beschwerdeführer darauf, die Rückweisung der Sache an die Vorinstanz zu verlangen, damit diese den Sachverhalt ergänzt und den Kindesunterhalt unter Berücksichtigung des neuen Unterhaltsrechts festlegt. Der Vorwurf der lückenhaften Feststellung des Sachverhalts beschränkt sich dabei auf die Behauptung, die Vorinstanz habe bezüglich Betreuungsunterhalt fälschlicherweise nicht das neue, am 1. Januar 2017 in Kraft getretene Unterhaltsrecht zur Anwendung gebracht. Darin liegt eine Rechts- und keine Sachverhaltsrüge. Weder tut der Beschwerdeführer auf diese Weise dar noch ist ersichtlich, weshalb das Bundesgericht die Sache zwingend an die Vorinstanz zurückweisen müsste, wenn es die Beschwerde für begründet hielte. Im Übrigen lässt sich der Beschwerde auch unter Heranziehung der Begründung keine Bezifferung der Anträge entnehmen. Entsprechend weiss das Bundesgericht nicht, welchen Unterhalt der Beschwerdeführer unter Berücksichtigung des neuen Unterhaltsrechts zu bezahlen bereit ist. Auf die Beschwerde kann deshalb nicht eingetreten werden.</w:t>
      </w:r>
    </w:p>
    <w:p>
      <w:r>
        <w:rPr>
          <w:b/>
        </w:rPr>
        <w:t>E. 3</w:t>
      </w:r>
    </w:p>
    <w:p>
      <w:r>
        <w:t>Bei diesem Ausgang des Verfahrens unterliegt der Beschwerdeführer. Er hat deshalb für die Gerichtskosten aufzukommen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