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5A_219/2013 vom 10. Dezember 2013</w:t>
      </w:r>
    </w:p>
    <w:p>
      <w:r>
        <w:t>Bundesgericht, 2013-12-10, DE</w:t>
      </w:r>
    </w:p>
    <w:p>
      <w:r>
        <w:rPr>
          <w:b/>
        </w:rPr>
        <w:t xml:space="preserve">Quelle: </w:t>
      </w:r>
      <w:r>
        <w:t>https://mcp.opencaselaw.ch/entscheid/bger_5A_219_2013</w:t>
      </w:r>
    </w:p>
    <w:p>
      <w:r>
        <w:t>FR: TF 5A_219/2013 du 10 décembre 2013</w:t>
      </w:r>
    </w:p>
    <w:p>
      <w:r>
        <w:t>IT: TF 5A_219/2013 del 10 dicembre 2013</w:t>
      </w:r>
    </w:p>
    <w:p>
      <w:pPr>
        <w:pStyle w:val="Heading2"/>
      </w:pPr>
      <w:r>
        <w:t>Erwägungen</w:t>
      </w:r>
    </w:p>
    <w:p>
      <w:r>
        <w:rPr>
          <w:b/>
        </w:rPr>
        <w:t>E. 1</w:t>
      </w:r>
    </w:p>
    <w:p>
      <w:r>
        <w:t>Angefochten ist ein kantonal letztinstanzlicher Entscheid in einer nicht vermögensrechtlichen Zivilsache. Die Beschwerde in Zivilsachen ist somit zulässig ( Art. 72 Abs. 1, Art. 75 Abs. 1 und Art. 90 BGG ). Wo diese gegeben ist, steht die subsidiäre Verfassungsbeschwerde, wie es schon ihr Name sagt, nicht offen (vgl. Art. 113 BGG ).</w:t>
      </w:r>
    </w:p>
    <w:p>
      <w:r>
        <w:t>Die Beschwerdeführerin hat eine Erstreckung der vom Richter im Massnahmeverfahren angesetzten Prosequierungsfrist verlangt. Über das betreffende Gesuch zu entscheiden hatte der Massnahmerichter. Der Nichteintretensentscheid betreffend Fristverlängerung erging mithin (wiederum) im vorsorglichen Massnahmeverfahren, was auch aus dem Rubrum des vorliegend strittigen Entscheides vom 9. November 2012 ersichtlich ist. Entsprechend ist dieser - im Unterschied zum Verfahren 5A_217/2013, welches ebenfalls die identische Streitfrage (Auslegung von Art. 315 Abs. 4 ZPO ) und einen Nichteintretensentscheid des Bezirksgerichts Willisau betrifft - als vorsorgliche Massnahme zu charakterisieren. Demnach kommt Art. 98 BGG zum Tragen mit der Folge, dass nur die Verletzung verfassungsmässiger Rechte geltend gemacht werden kann, wobei hierfür das strenge Rügeprinzip gemäss Art. 106 Abs. 2 BGG gilt.</w:t>
      </w:r>
    </w:p>
    <w:p>
      <w:r>
        <w:rPr>
          <w:b/>
        </w:rPr>
        <w:t>E. 2</w:t>
      </w:r>
    </w:p>
    <w:p>
      <w:r>
        <w:t>Die Beschwerdeführerin erhebt nur ganz am Rand Verfassungsrügen. Zum einen macht sie geltend, das erstinstanzliche Gericht habe Art. 29 Abs. 1 BV verletzt, indem es auf das fristgerechte Erstreckungsgesuch nicht eingetreten sei (Beschwerde S. 8 Rz. 15). Abgesehen davon, dass der Entscheid ausführlich begründet und deshalb Art. 29 Abs. 1 BV nicht verletzt ist, kann der erstinstanzliche Entscheid ohnehin nicht Anfechtungsobjekt sein (vgl. Art. 75 Abs. 1 BGG ); indem die Beschwerdeführerin diesbezüglich nicht den obergerichtlichen Entscheid anficht, kann auf ihre Beschwerde von vornherein nicht eingetreten werden. Zum anderen hält die Beschwerdeführerin fest, eine unrichtige Rechtsmittelbelehrung könne keine Rechtswirkungen entfalten; in diesem Zusammenhang habe das Obergericht Art. 5 und 9 BV verletzt (Beschwerde S. 17 Rz. 34). Ob die Rechtsmittelbelehrung unrichtig war, ergibt sich aber erst aus einer Auslegung von Art. 315 Abs. 4 ZPO . Konkret geht es um die Frage, ob die Berufung gegen vorsorgliche Massnahmen die formelle Rechtskraft aufschiebt oder nicht. Zwar äussert sich die Beschwerdeführerin ausführlich zu dieser Frage. Sie erörtert aber die betreffende Norm direkt, obwohl sie aufgrund von Art. 98 BGG aufzeigen müsste, dass das Obergericht diese Bestimmung willkürlich oder in Verletzung anderer verfassungsmässiger Rechte angewandt hat, indem es befand, die Berufung hemme die formelle Rechtskraft bei vorsorglichen Massnahmen nicht.</w:t>
      </w:r>
    </w:p>
    <w:p>
      <w:r>
        <w:t>Der Vollständigkeit halber sei festgehalten, dass jederzeit neue vorsorgliche Massnahmen verlangt werden könnten.</w:t>
      </w:r>
    </w:p>
    <w:p>
      <w:r>
        <w:rPr>
          <w:b/>
        </w:rPr>
        <w:t>E. 3</w:t>
      </w:r>
    </w:p>
    <w:p>
      <w:r>
        <w:t>Nach dem Gesagten kann auf die Beschwerde mangels tauglicher Rügen nicht eingetreten werden.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