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218/2020 vom 2. April 2020</w:t>
      </w:r>
    </w:p>
    <w:p>
      <w:r>
        <w:t>Bundesgericht, 2020-04-02, DE</w:t>
      </w:r>
    </w:p>
    <w:p>
      <w:r>
        <w:rPr>
          <w:b/>
        </w:rPr>
        <w:t xml:space="preserve">Quelle: </w:t>
      </w:r>
      <w:r>
        <w:t>https://mcp.opencaselaw.ch/entscheid/bger_5A_218_2020</w:t>
      </w:r>
    </w:p>
    <w:p>
      <w:r>
        <w:t>FR: TF 5A 218/2020 du 2 avril 2020</w:t>
      </w:r>
    </w:p>
    <w:p>
      <w:r>
        <w:t>IT: TF 5A 218/2020 del 2 aprile 2020</w:t>
      </w:r>
    </w:p>
    <w:p>
      <w:pPr>
        <w:pStyle w:val="Heading2"/>
      </w:pPr>
      <w:r>
        <w:t>Regeste</w:t>
      </w:r>
    </w:p>
    <w:p>
      <w:r>
        <w:t>Vorsorglicher Entzug des Aufenthaltsbestimmungsrechts | Familienrecht</w:t>
      </w:r>
    </w:p>
    <w:p>
      <w:pPr>
        <w:pStyle w:val="Heading2"/>
      </w:pPr>
      <w:r>
        <w:t>Erwägungen</w:t>
      </w:r>
    </w:p>
    <w:p>
      <w:r>
        <w:rPr>
          <w:b/>
        </w:rPr>
        <w:t>E. 1</w:t>
      </w:r>
    </w:p>
    <w:p>
      <w:r>
        <w:t>Angefochten ist der kantonal letztinstanzliche Entscheid betreffend Entzug des Aufenthaltsbestimmungsrechtes; die Beschwerde in Zivilsachen steht offen ( Art. 72 Abs. 1, Art. 75 Abs. 1 und Art. 90 BGG ). Allerdings geht es um eine vorsorgliche Massnahme, weshalb einzig die Verletzung verfassungsmässiger Rechte geltend gemacht werden kann ( Art. 98 BGG ). Hierfür gilt das strenge Rügeprinzip ( Art. 106 Abs. 2 BGG ), was bedeutet, dass das Bundesgericht nur klar und detailliert erhobene und soweit möglich belegte Rügen prüft, während es auf ungenügend begründete Rügen und rein appellatorische Kritik am angefochtenen Entscheid nicht eintritt ( BGE 134 II 244 E. 2.2 S. 246; 142 III 364 E. 2.4 S. 368).</w:t>
      </w:r>
    </w:p>
    <w:p>
      <w:r>
        <w:rPr>
          <w:b/>
        </w:rPr>
        <w:t>E. 2</w:t>
      </w:r>
    </w:p>
    <w:p>
      <w:r>
        <w:t>Formell werden zwar verschiedene verfassungsmässige Rechte als verletzt angerufen; inhaltlich besteht die Beschwerde aber primär aus appellatorischer Kritik, welche den an Verfassungsrügen zu stellenden Substanziierungsanforderungen über weite Strecken nicht genügt. Dies betrifft zunächst den Sachverhalt, den die Mutter anders darstellt (B.________ habe in der Schule gute Fortschritte gemacht; es gebe keine objektive Grundlage, sondern nur gutachterliche Mutmassungen für die Annahme, dass er nicht altersentsprechend entwickelt wäre und schulische Defizite aufweise). Als nicht bloss appellatorisch, sondern genügend substanziierte Willkürrüge könnte höchstens das Vorbringen angesehen werden, es stimme nicht, dass B.________ nach Beendigung des Schulvertrages mit der "Academia International School" nicht mehr zur Schule gegangen sei, sondern er habe ab November 2019 die Schule "Nova" besucht, was dem Obergericht mit Eingabe vom 12. Dezember 2019 zur Kenntnis gebracht worden sei; in diesem Zusammenhang wird aber - sollte die Behauptung tatsächlich zutreffen - nicht aufgezeigt, inwiefern dies für den Ausgang des angefochtenen Entscheides von entscheidender Bedeutung gewesen wäre (vgl. dazu BGE 140 III 264 E. 2.3 S. 266; 141 IV 249 E. 1.3.1 S. 253). Gleiches gilt für das Vorbringen, wahrheitswidrig werde behauptet, dass der Gutachter nie ein Einzelgespräch mit B.________ habe führen können. In rechtlicher Hinsicht wird eine Verletzung von Art. 10 Abs. 2 BV sowie ein Verstoss gegen Art. 14 BV und Art. 8 EMRK geltend gemacht, indem der Entzug des Aufenthaltsbestimmungsrechtes unverhältnismässig sei, namentlich mangels genügender Befristung, und indem das zugestandene Besuchsrecht ungenügend sei; das Gebot der Verhältnismässigkeit hätte verlangt, zunächst bloss eine Busse auszusprechen, falls die Begutachtung tatsächlich an ihrem Verhalten gescheitert sein sollte. Diese Vorbringen vermögen jedoch keine Verletzung der betreffenden verfassungsmässigen Rechte zu begründen. Die Massnahme beruht auf einer gesetzlichen Grundlage ( Art. 310 Abs. 1 ZGB ) und ist zur weiteren Begutachtung, insbesondere aber auch zur Behebung der schulischen und sozialen Defizite, zur Unterstützung der Selbstfindung des Kindes sowie zur Vorbereitung auf die Berufswahl vor dem Hintergrund der (vorstehend stark zusammengefasst wiedergegebenen) Vorgeschichte unabdingbar und auch verhältnismässig. Gleiches gilt für die Ausgestaltung des Besuchsrechtes; die Restriktionen sind durch das überprotektive, die Gesundheit gefährdende, keine Autonomie und Ablösung des Kindes zulassende Haltung der Mutter bedingt und damit ebenfalls als verhältnismässig zu bezeichnen. Im Übrigen trifft es nicht zu, dass die Massnahme nicht befristet wäre; sie gilt bis zum Entscheid in der Hauptsache, wobei sie durch die KESB jederzeit veränderten Verhältnissen angepasst werden kann. Auch insofern ist keine Verletzung verfassungsmässiger Rechte auszumachen.</w:t>
      </w:r>
    </w:p>
    <w:p>
      <w:r>
        <w:rPr>
          <w:b/>
        </w:rPr>
        <w:t>E. 3</w:t>
      </w:r>
    </w:p>
    <w:p>
      <w:r>
        <w:t>Nach dem Gesagten ist die Beschwerde offensichtlich unbegründet, soweit überhaupt genügend substanziierte Verfassungsrügen vorliegen, und deshalb im vereinfachten Verfahren nach Art. 109 Abs. 2 lit. a BGG zu behandeln.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