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217/2019 vom 25. März 2019</w:t>
      </w:r>
    </w:p>
    <w:p>
      <w:r>
        <w:t>Bundesgericht, 2019-03-25, DE</w:t>
      </w:r>
    </w:p>
    <w:p>
      <w:r>
        <w:rPr>
          <w:b/>
        </w:rPr>
        <w:t xml:space="preserve">Quelle: </w:t>
      </w:r>
      <w:r>
        <w:t>https://mcp.opencaselaw.ch/entscheid/bger_5A_217_2019</w:t>
      </w:r>
    </w:p>
    <w:p>
      <w:r>
        <w:t>FR: TF 5A 217/2019 du 25 mars 2019</w:t>
      </w:r>
    </w:p>
    <w:p>
      <w:r>
        <w:t>IT: TF 5A 217/2019 del 25 marzo 2019</w:t>
      </w:r>
    </w:p>
    <w:p>
      <w:pPr>
        <w:pStyle w:val="Heading2"/>
      </w:pPr>
      <w:r>
        <w:t>Regeste</w:t>
      </w:r>
    </w:p>
    <w:p>
      <w:r>
        <w:t>Provisorische Rechtsöffnung | Schuldbetreibungs- und Konkursrecht</w:t>
      </w:r>
    </w:p>
    <w:p>
      <w:pPr>
        <w:pStyle w:val="Heading2"/>
      </w:pPr>
      <w:r>
        <w:t>Erwägungen</w:t>
      </w:r>
    </w:p>
    <w:p>
      <w:r>
        <w:rPr>
          <w:b/>
        </w:rPr>
        <w:t>E. 1</w:t>
      </w:r>
    </w:p>
    <w:p>
      <w:r>
        <w:t>Mit Entscheid vom 30. Oktober 2018 wies das Kantonsgericht Nidwalden das Rechtsöffnungsgesuch des Beschwerdeführers gegenüber dem Beschwerdegegner ab (Betreibung Nr. xxx des Betreibungsamts Nidwalden über Fr. 52'000.-- nebst Zins). Es auferlegte dem Beschwerdeführer die Gerichtskosten von Fr. 200.--. Dagegen beschwerte sich der Beschwerdeführer am 6. November 2018 beim Obergericht des Kantons Nidwalden. Mit Entscheid vom 14. Februar 2019 trat das Obergericht auf die Beschwerde wegen mangelnder Begründung nicht ein. Es auferlegte dem Beschwerdeführer die Gerichtskosten von Fr. 500.-- und entnahm diese dem vom Beschwerdeführer geleisteten Kostenvorschuss in gleicher Höhe. Am 13. März 2019 hat der Beschwerdeführer gegen diesen Entscheid des Obergerichts (sowie einen weiteren; dazu Verfahren 5A_216/2019) Beschwerde an das Bundesgericht erhoben. Am 18. März 2019 (Postaufgabe) hat er die Beschwerde ergänzt.</w:t>
      </w:r>
    </w:p>
    <w:p>
      <w:r>
        <w:rPr>
          <w:b/>
        </w:rPr>
        <w:t>E. 2</w:t>
      </w:r>
    </w:p>
    <w:p>
      <w:r>
        <w:t>Die Eingabe ist als Beschwerde in Zivilsachen entgegenzunehmen ( Art. 72 Abs. 2 lit. a, Art. 74 Abs. 1 lit. b, Art. 75, Art. 90 BGG ). Die Beschwerde und ihre Ergänzungen sind rechtzeitig erfolgt ( Art. 100 Abs. 1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setzt sich nicht ansatzweise damit auseinander, dass er vor Obergericht seine Beschwerde nicht genügend begründet hat. Stattdessen erstattet er "Haftanzeige" gegen das Obergericht, da für ihn keine Leistung erbracht worden sei. Soweit er sich auf den Kostenvorschuss von Fr. 500.-- bezieht, so setzt er sich nicht mit der Erwägung des Obergerichts auseinander, wonach er ausgangsgemäss die Gerichtskosten zu tragen hat, d.h. mit anderen Worten, weil er im Verfahren vor Obergericht unterlegen ist. Zur Entgegennahme und Behandlung von Strafanzeigen ist das Bundesgericht nicht zuständig. Auch auf die wahrscheinlich gegen den Kanton Nidwalden gerichtete Staatshaftungsklage, deren Grundlage nicht weiter erläutert wird, ist nicht einzugehen. Ebenso wenig sind weitere Anliegen des Beschwerdeführers zu behandeln, die mit der vorliegenden Sache nichts zu tun haben (z.B. der angebliche Gewinn in einer australischen Lotterie). Die Beschwerde ist somit offensichtlich unzureichend begründet. Auf sie ist im vereinfachten Verfahren gemäss Art. 108 Abs. 1 lit. b BGG durch das präsidierende Mitglied der Abteilung nicht einzutreten.</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