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5A_217/2007 vom 1. Juni 2007</w:t>
      </w:r>
    </w:p>
    <w:p>
      <w:r>
        <w:t>Bundesgericht, 2007-06-01, FR</w:t>
      </w:r>
    </w:p>
    <w:p>
      <w:r>
        <w:rPr>
          <w:b/>
        </w:rPr>
        <w:t xml:space="preserve">Quelle: </w:t>
      </w:r>
      <w:r>
        <w:t>https://mcp.opencaselaw.ch/entscheid/bger_5A_217_2007</w:t>
      </w:r>
    </w:p>
    <w:p>
      <w:r>
        <w:t>FR: TF 5A_217/2007 du 1 juin 2007</w:t>
      </w:r>
    </w:p>
    <w:p>
      <w:r>
        <w:t>IT: TF 5A_217/2007 del 1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Bien qu'ils soient dirigés contre des décisions formellement séparées, les présents recours portent sur le même complexe de fait et opposent des époux faisant ménage commun à l'acquéreur de l'immeuble ayant requis leur évacuation forcée; en outre, ils soulèvent essentiellement les mêmes problèmes juridiques. Dans ces circonstances, il se justifie de joindre les deux causes et de statuer par un seul arrêt ( art. 24 PCF , en relation avec l' art. 71 LTF ; cf. ATF 129 V 237 consid. 1 p. 240 et les arrêts cités).</w:t>
      </w:r>
    </w:p>
    <w:p>
      <w:r>
        <w:rPr>
          <w:b/>
        </w:rPr>
        <w:t>E. 2</w:t>
      </w:r>
    </w:p>
    <w:p>
      <w:r>
        <w:t>Les décisions entreprises peuvent faire l'objet d'un recours en matière civile (art. 72 al. 2 let. b ch. 1 LTF). Même en l'absence d'indication à ce propos ( art. 112 al. 1 let . d LTF), il y a lieu d'admettre que la valeur litigieuse minimale est atteinte ( art. 74 al. 1 let. b LTF ). Les recourants ont qualité pour recourir ( art. 76 al. 1 LTF ) et ils ont procédé en temps utile ( art. 100 al. 1 LTF ).</w:t>
      </w:r>
    </w:p>
    <w:p>
      <w:r>
        <w:rPr>
          <w:b/>
        </w:rPr>
        <w:t>E. 3</w:t>
      </w:r>
    </w:p>
    <w:p>
      <w:r>
        <w:t>Il convient d'examiner tout d'abord le moyen déduit d'une violation du droit à une décision motivée, découlant du droit d'être entendu ( art. 29 al. 2 Cst. ; ATF 129 I 232 consid. 3.2 p. 236 et les citations). La violation de l' art. 112 al. 3 LTF ne revêt pas de portée propre à cet égard.</w:t>
      </w:r>
    </w:p>
    <w:p>
      <w:r>
        <w:rPr>
          <w:b/>
        </w:rPr>
        <w:t>E. 3.1</w:t>
      </w:r>
    </w:p>
    <w:p>
      <w:r>
        <w:t>Il résulte des observations consignées sur le dossier en cause que les recourants ne se sont pas présentés à l'audience du 5 avril 2007, mais que le mari était représenté à cette occasion par un avocat, qui a fait valoir qu'il y "aurait un changement de propriétaire". Quoi qu'en dise l'intimée, et malgré les doutes qu'exprime le Procureur, il n'y a pas lieu de penser que cet argument aurait été invoqué pour le compte du seul mari, d'autant que l'épouse occupe aussi le logement dont l'évacuation a été ordonnée.</w:t>
      </w:r>
    </w:p>
    <w:p>
      <w:r>
        <w:rPr>
          <w:b/>
        </w:rPr>
        <w:t>E. 3.2</w:t>
      </w:r>
    </w:p>
    <w:p>
      <w:r>
        <w:t>Dans sa réponse, le Procureur expose que ce moyen reposait sur un "courrier d'avocat" ainsi que sur l'allégation que le "changement de propriétaire ne figurait pas encore au Registre foncier"; cela étant, "le Ministère public ne pouvait qu'écarter, sans avoir à le justifier, l'argument du changement de propriétaire". Et même si un tel transfert avait été établi, cela ne ferait pas échec à l'expulsion, car le Procureur n'est pas "compétent pour revoir le fond de la décision" à exécuter.</w:t>
      </w:r>
    </w:p>
    <w:p>
      <w:r>
        <w:t>Ces considérations sont conformes à la jurisprudence, de sorte qu'on peut se borner à y renvoyer (cf. arrêt 4P.229/2006 du 27 février 2007, consid. 3.4 et 4.3, ainsi que les références). Au demeurant, le défaut de motivation de la décision entreprise peut être réparé si le recourant a la possibilité de présenter un mémoire complémentaire pour prendre position sur les motifs contenus dans la réponse de la juridiction cantonale et qu'il n'en résulte pour lui aucun préjudice ( ATF 107 Ia 1 et les références). Ces conditions sont remplies en l'occurrence: le mari s'est déterminé sur les observations du Ministère public, mais sans aborder la question du vice de procédure incriminé, alors que son épouse ne s'est pas prononcée à ce sujet.</w:t>
      </w:r>
    </w:p>
    <w:p>
      <w:r>
        <w:rPr>
          <w:b/>
        </w:rPr>
        <w:t>E. 4</w:t>
      </w:r>
    </w:p>
    <w:p>
      <w:r>
        <w:t>Les recourants dénoncent encore une violation de l' art. 473 LPC /GE.</w:t>
      </w:r>
    </w:p>
    <w:p>
      <w:r>
        <w:rPr>
          <w:b/>
        </w:rPr>
        <w:t>E. 4.1</w:t>
      </w:r>
    </w:p>
    <w:p>
      <w:r>
        <w:t>Le mari affirme que la sommation de l'huissier ne se référait qu'au jugement d'évacuation du 10 juin 2004 rendu uniquement à l'encontre de sa femme. Pour les raisons exposées par le Procureur et l'intimée, ce moyen apparaît manifestement abusif (cf. sur ce point: ATF 123 III 220 consid. 4d p. 228/229 et la jurisprudence mentionnée), car il aurait dû être présenté, si ce n'est lors de la précédente procédure fédérale de recours (5P.25/2006), en tout cas à l'audience devant la juridiction inférieure; or, il ne ressort pas du dossier que tel aurait été le cas. Le recourant le soutient, mais il était précisément absent le jour de cette audience.</w:t>
      </w:r>
    </w:p>
    <w:p>
      <w:r>
        <w:rPr>
          <w:b/>
        </w:rPr>
        <w:t>E. 4.2</w:t>
      </w:r>
    </w:p>
    <w:p>
      <w:r>
        <w:t>L'épouse fait valoir, de son côté, que la sommation a été délivrée en exemplaire unique à son conjoint; en revanche, aucune sommation ne lui a été adressée personnellement, alors même que les jugements ordonnant l'évacuation étaient des décisions distinctes. Pour les motifs indiqués ci-dessus (consid. 4.1), ce moyen est pareillement abusif. On peut renvoyer sur ce point aux observations pertinentes de l'intimée et du Ministère public.</w:t>
      </w:r>
    </w:p>
    <w:p>
      <w:r>
        <w:rPr>
          <w:b/>
        </w:rPr>
        <w:t>E. 5</w:t>
      </w:r>
    </w:p>
    <w:p>
      <w:r>
        <w:t>Vu ce qui précède, le grief pris d'une violation de l' art. 8 CEDH n'entre pas en considération.</w:t>
      </w:r>
    </w:p>
    <w:p>
      <w:r>
        <w:rPr>
          <w:b/>
        </w:rPr>
        <w:t>E. 6</w:t>
      </w:r>
    </w:p>
    <w:p>
      <w:r>
        <w:t>En conclusion, les recours doivent être rejetés dans la mesure de leur recevabilité. Comme ils étaient d'emblée voués à l'échec, les requêtes d'assistance judiciaire doivent être rejetées ( art. 64 al. 1 LTF ). Compte tenu des circonstances de l'espèce, il y a cependant lieu de renoncer à percevoir des frais de justice. Les dépens incombent aux recourants, solidairement entre eux ( art. 68 al. 1 et 4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