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5A_216/2024 vom 8. April 2024</w:t>
      </w:r>
    </w:p>
    <w:p>
      <w:r>
        <w:t>Bundesgericht, 2024-04-08, DE</w:t>
      </w:r>
    </w:p>
    <w:p>
      <w:r>
        <w:rPr>
          <w:b/>
        </w:rPr>
        <w:t xml:space="preserve">Quelle: </w:t>
      </w:r>
      <w:r>
        <w:t>https://mcp.opencaselaw.ch/entscheid/bger_5A_216_2024</w:t>
      </w:r>
    </w:p>
    <w:p>
      <w:r>
        <w:t>FR: TF 5A_216/2024 du 8 avril 2024</w:t>
      </w:r>
    </w:p>
    <w:p>
      <w:r>
        <w:t>IT: TF 5A_216/2024 del 8 aprile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Anlässlich der Grundstücksteigerung vom 1. März 2024 wurde das im Gesamteigentum von A.________ und B.________ stehende Grundstück U.________ Gbbl-Nr. xxx der C.________ AG zugeschlagen. Gegen den Zuschlag erhob A.________ (fortan: Beschwerdeführer) Beschwerde bei der Aufsichtsbehörde für Schuldbetreibung und Konkurs des Kantons Solothurn. Mit Verfügung vom 26. März 2024 wies die Aufsichtsbehörde das Gesuch um aufschiebende Wirkung ab.</w:t>
      </w:r>
    </w:p>
    <w:p>
      <w:r>
        <w:t>Gegen diese Verfügung hat der Beschwerdeführer am 3. April 2024 Beschwerde an das Bundesgericht erhoben.</w:t>
      </w:r>
    </w:p>
    <w:p>
      <w:r>
        <w:rPr>
          <w:b/>
        </w:rPr>
        <w:t>E. 2</w:t>
      </w:r>
    </w:p>
    <w:p>
      <w:r>
        <w:t>Die angefochtene Verfügung betrifft die aufschiebende Wirkung und damit eine vorsorgliche Massnahme im Sinne von Art. 98 BGG ( BGE 134 II 192 E. 1.5; 137 III 475 E. 2), womit nur die Verletzung verfassungsmässiger Rechte gerügt werden kann. Verfassungsrügen müssen gemäss dem strengen Rügeprinzip von Art. 106 Abs. 2 BGG in der Beschwerde präzise vorgebracht und begründet werden. Dies bedeutet, dass anhand der Erwägungen des angefochtenen Entscheids klar und detailliert darzulegen ist, inwiefern verfassungsmässige Rechte verletzt worden sein sollen ( BGE 133 II 396 E. 3.1; 142 III 364 E. 2.4). Der Beschwerdeführer nennt jedoch keine verfassungsmässigen Rechte, die durch die angefochtene Verfügung verletzt worden sein sollen. Stattdessen macht er eine Verletzung von Art. 66 Abs. 1 der Verordnung des Bundesgerichts vom 23. April 1920 über die Zwangsverwertung von Grundstücken (VZG; SR 281.42) geltend.</w:t>
      </w:r>
    </w:p>
    <w:p>
      <w:r>
        <w:t>Die Beschwerde enthält offensichtlich keine hinreichende Begründung. Der Abteilungspräsident tritt auf sie im vereinfachten Verfahren nicht ein ( Art. 108 Abs. 1 lit. b BGG ). Das für das bundesgerichtliche Verfahren gestellte Gesuch um aufschiebende Wirkung wird damit gegenstandslos.</w:t>
      </w:r>
    </w:p>
    <w:p>
      <w:r>
        <w:rPr>
          <w:b/>
        </w:rPr>
        <w:t>E. 3</w:t>
      </w:r>
    </w:p>
    <w:p>
      <w:r>
        <w:t>Bei diesem Ausgang des Verfahrens trägt der Beschwerdeführer die Gerichtskosten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