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5A_214/2020 vom 19. März 2020</w:t>
      </w:r>
    </w:p>
    <w:p>
      <w:r>
        <w:t>Bundesgericht, 2020-03-19, DE</w:t>
      </w:r>
    </w:p>
    <w:p>
      <w:r>
        <w:rPr>
          <w:b/>
        </w:rPr>
        <w:t xml:space="preserve">Quelle: </w:t>
      </w:r>
      <w:r>
        <w:t>https://mcp.opencaselaw.ch/entscheid/bger_5A_214_2020</w:t>
      </w:r>
    </w:p>
    <w:p>
      <w:r>
        <w:t>FR: TF 5A_214/2020 du 19 mars 2020</w:t>
      </w:r>
    </w:p>
    <w:p>
      <w:r>
        <w:t>IT: TF 5A_214/2020 del 19 marzo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 Weil die Vorinstanz auf das Rechtsmittel nicht eingetreten ist, konzentriert sich der Streitgegenstand grundsätzlich auf die Frage, ob die Vorinstanz mit ihren Nicheintretenserwägungen gegen Recht verstossen hat ( BGE 135 II 38 E. 1.2 S. 41).</w:t>
      </w:r>
    </w:p>
    <w:p>
      <w:r>
        <w:rPr>
          <w:b/>
        </w:rPr>
        <w:t>E. 2</w:t>
      </w:r>
    </w:p>
    <w:p>
      <w:r>
        <w:t>Die Beschwerdeführerin äussert sich nicht hierzu, ja nicht einmal zum vorinstanzlichen Streitgegenstand, sondern wie bereits vor Obergericht zur damaligen Errichtung der Beistandschaft und zur Überführung ins neue Recht. Die Genehmigung des Berichtes wird nur indirekt insofern erwähnt, als in den Augen der Beschwerdeführerin keine Genehmigung erfolgen konnte, weil die Beistandschaft unrechtmässig sei.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