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5A_213/2024 vom 9. April 2024</w:t>
      </w:r>
    </w:p>
    <w:p>
      <w:r>
        <w:t>Bundesgericht, 2024-04-09, DE</w:t>
      </w:r>
    </w:p>
    <w:p>
      <w:r>
        <w:rPr>
          <w:b/>
        </w:rPr>
        <w:t xml:space="preserve">Quelle: </w:t>
      </w:r>
      <w:r>
        <w:t>https://mcp.opencaselaw.ch/entscheid/bger_5A_213_2024</w:t>
      </w:r>
    </w:p>
    <w:p>
      <w:r>
        <w:t>FR: TF 5A_213/2024 du 9 avril 2024</w:t>
      </w:r>
    </w:p>
    <w:p>
      <w:r>
        <w:t>IT: TF 5A_213/2024 del 9 aprile 2024</w:t>
      </w:r>
    </w:p>
    <w:p>
      <w:pPr>
        <w:pStyle w:val="Heading2"/>
      </w:pPr>
      <w:r>
        <w:t>Erwägungen</w:t>
      </w:r>
    </w:p>
    <w:p>
      <w:r>
        <w:rPr>
          <w:b/>
        </w:rPr>
        <w:t>E. 1</w:t>
      </w:r>
    </w:p>
    <w:p>
      <w:r>
        <w:t>Angefochten ist der kantonal letztinstanzliche Entscheid betreffend Ausstand in einem Scheidungsverfahren; die Beschwerde in Zivilsachen ist zulässig ( Art. 72 Abs. 1, Art. 75 Abs. 1 und Art. 92 Abs. 1 BGG ).</w:t>
      </w:r>
    </w:p>
    <w:p>
      <w:r>
        <w:t>Es ist indes zu beachten, dass die Vorinstanz auf das Rechtsmittel der Beschwerdeführerin nicht eingetreten ist. Anfechtungsgegenstand des bundesgerichtlichen Verfahrens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festgehalten, dass die Beschwerdeführerin vor dem Regionalgericht keine konkreten Sachverhalte vorgebracht habe, welche eine Befangenheit der für das Scheidungsverfahren zuständigen Gerichtspräsidentin begründen könnten. In der Beschwerde konkretisiere sie zwar solche Sachverhalte (die Gerichtspräsidentin habe im Eheschutzverfahren laufend Verfahrensfehler begangen, das rechtliche Gehör verletzt, das Down-Syndrom nicht beachtet, immer gegen sie entschieden und sie aufgrund ihres Migrationshintergrundes als persönliche Feindin betrachtet; sodann sei die Frau des Geschäftspartners des Vaters ebenfalls als Richterin im Kanton Bern tätig). All diese Vorbringen würden indes am Novenverbot scheitern und ohnehin seien die Behauptungen nicht erstellt bzw. vermöchten sie keinen objektivierbaren Anschein von Befangenheit zu begründen.</w:t>
      </w:r>
    </w:p>
    <w:p>
      <w:r>
        <w:rPr>
          <w:b/>
        </w:rPr>
        <w:t>E. 3</w:t>
      </w:r>
    </w:p>
    <w:p>
      <w:r>
        <w:t>Die Beschwerdeführerin setzt sich mit den Nichteintretenserwägungen nicht in sachgerichteter Weise auseinander und legt nicht dar, inwiefern sie die angeblichen Befangenheitsgründe im kantonalen Verfahren rechtzeitig eingebracht hätte. Vielmehr wiederholt und ergänzt sie diese mit weitschweifigen allgemeinen Ausführungen und Vorwürfen an die Adresse der erstinstanzlichen Gerichtspräsidentin. Damit lässt sich nicht dartun, inwiefern die obergerichtlichen Nichteintretenserwägungen gegen Recht verstossen sollen.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