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5A_213/2019 vom 25. September 2019</w:t>
      </w:r>
    </w:p>
    <w:p>
      <w:r>
        <w:t>Bundesgericht, 2019-09-25, DE</w:t>
      </w:r>
    </w:p>
    <w:p>
      <w:r>
        <w:rPr>
          <w:b/>
        </w:rPr>
        <w:t xml:space="preserve">Quelle: </w:t>
      </w:r>
      <w:r>
        <w:t>https://mcp.opencaselaw.ch/entscheid/bger_5A_213_2019</w:t>
      </w:r>
    </w:p>
    <w:p>
      <w:r>
        <w:t>FR: TF 5A_213/2019 du 25 septembre 2019</w:t>
      </w:r>
    </w:p>
    <w:p>
      <w:r>
        <w:t>IT: TF 5A_213/2019 del 25 settembre 2019</w:t>
      </w:r>
    </w:p>
    <w:p>
      <w:pPr>
        <w:pStyle w:val="Heading2"/>
      </w:pPr>
      <w:r>
        <w:t>Erwägungen</w:t>
      </w:r>
    </w:p>
    <w:p>
      <w:r>
        <w:rPr>
          <w:b/>
        </w:rPr>
        <w:t>E. 1.1</w:t>
      </w:r>
    </w:p>
    <w:p>
      <w:r>
        <w:t>Das Bundesgericht prüft von Amtes wegen und mit freier Kognition, ob auf eine Beschwerde eingetreten werden kann ( Art. 29 Abs. 1 BGG ; BGE 143 III 140 E. 1 S. 143 mit Hinweisen).</w:t>
      </w:r>
    </w:p>
    <w:p>
      <w:r>
        <w:rPr>
          <w:b/>
        </w:rPr>
        <w:t>E. 1.2</w:t>
      </w:r>
    </w:p>
    <w:p>
      <w:r>
        <w:t>Die Vorinstanz hat im angefochtenen Urteil mit Bezug auf den nachehelichen Unterhalt für eine bestimmte Zeitspanne (Rechtskraft des Berufungsurteils bis Juli 2022) selbst entschieden und die Sache für die darauffolgende Zeitspanne (ab August 2022) zu neuem Entscheid an das Bezirksgericht zurückgewiesen. Die Rückweisung der Sache zu neuem Entscheid ist ein Zwischenentscheid ( BGE 144 III 253 E. 1.3 S. 253 mit Hinweisen). Mithin stellt sich die Frage, ob der angefochtene Entscheid insgesamt als Zwischenentscheid ( Art. 93 BGG ) qualifiziert werden muss oder ob er nur hinsichtlich der Rückweisung als Zwischenentscheid zu behandeln und im Übrigen von einem beschwerdefähigen Teilentscheid ( Art. 91 BGG ) auszugehen ist (vgl. in diese Richtung weisend: BGE 135 V 141 E. 1.4.4-1.4.6 S. 146 ff.).</w:t>
      </w:r>
    </w:p>
    <w:p>
      <w:r>
        <w:rPr>
          <w:b/>
        </w:rPr>
        <w:t>E. 1.3</w:t>
      </w:r>
    </w:p>
    <w:p>
      <w:r>
        <w:t>Ein Teilentscheid ist eine Variante des Endentscheids ( BGE 141 III 395 E. 2.2 S. 397 mit Hinweisen). Mit ihm wird über eines oder einige von mehreren Rechtsbegehren (objektive oder subjektive Klagenhäufung) abschliessend befunden. Es handelt sich dabei nicht um verschiedene materiellrechtliche Teilfragen eines Rechtsbegehrens, sondern um verschiedene Rechtsbegehren. Ein Entscheid, der nur einen Teil der gestellten Begehren behandelt, ist jedoch nur dann ein vor Bundesgericht anfechtbarer Teilentscheid, wenn diese Begehren unabhängig von den anderen beurteilt werden können ( Art. 91 lit. a BGG ; BGE 135 III 212 E. 1.2.1 S. 217 mit Hinweisen). Unabhängigkeit im Sinne von Art. 91 lit. a BGG bedeutet zum einen, dass die gehäuften Begehren auch Gegenstand eines eigenen Prozesses hätten bilden können, und zum andern, dass der angefochtene Entscheid einen Teil des gesamten Prozessgegenstandes abschliessend beurteilt, so dass keine Gefahr besteht, dass das Schlussurteil über den verbliebenen Prozessgegenstand im Widerspruch zum bereits rechtskräftig ausgefällten Teilurteil steht ( BGE 135 III 212 E. 1.2.2 f. S. 217 mit Hinweisen).</w:t>
      </w:r>
    </w:p>
    <w:p>
      <w:r>
        <w:rPr>
          <w:b/>
        </w:rPr>
        <w:t>E. 1.4</w:t>
      </w:r>
    </w:p>
    <w:p>
      <w:r>
        <w:t>Im Scheidungsverfahren gilt es den Grundsatz der Einheit des Scheidungsurteils zu beachten ( Art. 283 Abs. 1 ZPO ). Das Scheidungsverfahren erster oder zweiter Instanz ist insgesamt erst beendet, nachdem über alle Nebenfolgen entschieden worden ist. Ausgenommen vom Grundsatz der Einheit des Scheidungsurteils sind - neben dem Scheidungspunkt selber ( BGE 144 III 298 E. 6.4 S. 305; 137 III 421 E. 1.1 S. 422 mit Hinweis) - nur die güterrechtliche Auseinandersetzung, die aus wichtigen Gründen in ein separates Verfahren verwiesen werden kann ( Art. 283 Abs. 2 ZPO ), sowie der Vorsorgeausgleich, wenn Vorsorgeansprüche im Ausland betroffen sind und über deren Ausgleich eine Entscheidung im betreffenden Staat erwirkt werden kann ( Art. 283 Abs. 3 ZPO ). Die Rechtsmittelinstanz kann indessen auch bloss einen Teil der strittigen Fragen selber beurteilen und - so wie hier geschehen - die übrigen an die erste Instanz zur neuen Entscheidung zurückweisen. In diesem Fall wird der Prozess (insgesamt) fortgeführt und erst beendet, wenn alle Nebenfolgen geregelt sind. Daraus folgt, dass Nebenfolgen der Scheidung (mit den erwähnten Ausnahmen) nicht im Sinne von Art. 91 lit. a BGG "unabhängig von den anderen [Begehren] beurteilt werden können" ( BGE 134 III 426 E. 1.2 S. 428 f.; Urteile 5A_769/2015 vom 1. September 2015 E. 4.2.2; 5A_498/2012 vom 14. September 2012 E. 1.2.1; 5A_764/2011 vom 30. März 2012 E. 1.2.2</w:t>
      </w:r>
    </w:p>
    <w:p>
      <w:r>
        <w:t>in fine ). Mithin ist der angefochtene Entscheid als Zwischenentscheid ( Art. 93 BGG ) zu qualifizieren ( BGE 134 III 426 E. 1.2 S. 429).</w:t>
      </w:r>
    </w:p>
    <w:p>
      <w:r>
        <w:rPr>
          <w:b/>
        </w:rPr>
        <w:t>E. 1.5</w:t>
      </w:r>
    </w:p>
    <w:p>
      <w:r>
        <w:t>Gegen diesen ist die Beschwerde vorliegend nur zulässig, wenn er einen nicht wieder gutzumachenden Nachteil bewirken kann ( Art. 93 Abs. 1 lit. a BGG ). Es obliegt dem Beschwerdeführer darzutun, dass diese Voraussetzung erfüllt ist, sofern dies nicht geradezu in die Augen springt ( BGE 142 III 798 E. 2.2</w:t>
      </w:r>
    </w:p>
    <w:p>
      <w:r>
        <w:t>in fine S. 801; 141 III 395 E. 2.5 S. 400; 141 III 80 E. 1.2</w:t>
      </w:r>
    </w:p>
    <w:p>
      <w:r>
        <w:t>in fine S. 81; je mit Hinweisen). Der Nachteil muss rechtlicher Natur sein. Das setzt voraus, dass er sich auch mit einem späteren günstigen Endentscheid nicht oder nicht gänzlich beseitigen lässt ( BGE 143 III 416 E. 1.3 S. 419; 142 III 798 E. 2.2 S. 801; 141 III 395 E. 2.5 S. 399 f.; je mit Hinweisen). Ausschlaggebend ist also, wie sich der Zwischenentscheid auf die Hauptsache auswirkt ( BGE 137 III 380 E. 1.2.2 S. 383). Der blosse Umstand, zu einer Geldleistung verpflichtet zu werden, stellt grundsätzlich keinen rechtlichen Nachteil im beschriebenen Sinne dar ( BGE 138 III 333 E. 1.3.1 S. 335; 137 III 637 E. 1.2 S. 640 mit Hinweis). Ausnahmen können bestehen, soweit der Schuldner die Beiträge zu zahlen nicht in der Lage ist oder die geleisteten Beträge im Falle seines Obsiegens in der Hauptsache nicht zurückfordern kann (Urteile 5A_955/2013 vom 1. April 2014 E. 1.4; 5A_556/2013 vom 7. Oktober 2013 E. 1.2.1; 5D_52/2010 vom 10. Mai 2010 E. 1.1.1, in: SJ 2011 I S. 135).</w:t>
      </w:r>
    </w:p>
    <w:p>
      <w:r>
        <w:rPr>
          <w:b/>
        </w:rPr>
        <w:t>E. 1.6</w:t>
      </w:r>
    </w:p>
    <w:p>
      <w:r>
        <w:t>In der Beschwerdeschrift fehlt jegliche Auseinandersetzung mit der Natur des angefochtenen Entscheids und der Beschwerdeführer äussert sich nicht zum Eintretenserfordernis des nicht wieder gutzumachenden Nachteils. Ein solcher ist auch nicht geradezu offensichtlich. Auf die Beschwerde kann daher nicht eingetreten werden.</w:t>
      </w:r>
    </w:p>
    <w:p>
      <w:r>
        <w:rPr>
          <w:b/>
        </w:rPr>
        <w:t>E. 2</w:t>
      </w:r>
    </w:p>
    <w:p>
      <w:r>
        <w:t>Bei diesem Verfahrensausgang unterliegt der Beschwerdeführer und wird kostenpflichtig ( Art. 66 Abs. 1 BGG ). Eine Parteientschädigung ist nicht geschuldet, zumal der Beschwerdegegnerin kein entschädigungspflichtiger Aufwand entstanden ist ( Art. 68 Abs. 1 und 2 BGG ). Wie die vorstehenden Erwägungen zeigen, konnte der Beschwerde von Anfang an keine Aussicht auf Erfolg beschieden sein, so dass es an den materiellen Voraussetzungen der unentgeltlichen Rechtspflege fehlt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