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5A_212/2020 vom 26. Januar 2022</w:t>
      </w:r>
    </w:p>
    <w:p>
      <w:r>
        <w:t>Bundesgericht, 2022-01-26, FR</w:t>
      </w:r>
    </w:p>
    <w:p>
      <w:r>
        <w:rPr>
          <w:b/>
        </w:rPr>
        <w:t xml:space="preserve">Quelle: </w:t>
      </w:r>
      <w:r>
        <w:t>https://mcp.opencaselaw.ch/entscheid/bger_5A_212_2020</w:t>
      </w:r>
    </w:p>
    <w:p>
      <w:r>
        <w:t>FR: TF 5A_212/2020 du 26 janvier 2022</w:t>
      </w:r>
    </w:p>
    <w:p>
      <w:r>
        <w:t>IT: TF 5A_212/2020 del 26 gennaio 2022</w:t>
      </w:r>
    </w:p>
    <w:p>
      <w:pPr>
        <w:pStyle w:val="Heading2"/>
      </w:pPr>
      <w:r>
        <w:t>Erwägungen</w:t>
      </w:r>
    </w:p>
    <w:p>
      <w:r>
        <w:rPr>
          <w:b/>
        </w:rPr>
        <w:t>E. 1.1</w:t>
      </w:r>
    </w:p>
    <w:p>
      <w:r>
        <w:t>Le recours a été déposé en temps utile ( art. 100 al. 1 LTF ) et dans la forme légale ( art. 42 al. 1 LTF ), contre une décision finale ( art. 90 LTF ) rendue sur recours par une autorité supérieure statuant en dernière instance cantonale ( art. 75 al. 1 LTF ), dans une affaire civile ( art. 72 al. 1 LTF ) de nature pécuniaire, dont la valeur litigieuse atteint le seuil de 30'000 fr. (art. 51 al. 1 let. a et 74 al. 1 let. b LTF).</w:t>
      </w:r>
    </w:p>
    <w:p>
      <w:r>
        <w:rPr>
          <w:b/>
        </w:rPr>
        <w:t>E. 1.2</w:t>
      </w:r>
    </w:p>
    <w:p>
      <w:r>
        <w:t>La recevabilité du recours en matière civile est également soumise à l'exigence que la partie qui recourt dispose de la qualité pour former un tel recours ( art. 76 LTF ), ce qui suppose qu'elle ait pris part à la procédure devant l'autorité précédente ou ait été privée de la possibilité de le faire (let. a) et ait un intérêt digne de protection à son annulation ou sa modification (let. b). L'intérêt à recourir doit être actuel et personnel en ce sens qu'il n'est, sauf exceptions, pas admis d'agir en justice pour faire valoir non pas son propre intérêt mais l'intérêt de tiers (arrêts 5A_336/2020 du 12 juillet 2021 consid. 1; 5A_281/2020 du 27 avril 2021 consid. 1.3.1; 5A_422/2020 du 25 novembre 2020 consid. 1.4.3.2 et la référence). Il incombe à la partie recourante d'alléguer les faits qu'elle considère comme propres à fonder sa qualité pour recourir au Tribunal fédéral selon l' art. 76 LTF , lorsqu'ils ne ressortent pas à l'évidence de la décision attaquée ou du dossier de la cause ( ATF 145 I 121 consid. 1; 138 III 537 consid. 1.2; 135 III 46 consid. 4; 133 II 353 consid. 1; arrêt 5A_281/2020 précité consid. 1.3.1).</w:t>
      </w:r>
    </w:p>
    <w:p>
      <w:r>
        <w:t>En tant que les recourants requièrent la constatation des parts successorales de l'Association S.________, de la Fondation T.________ et de la Fondation U.________ - lesquelles n'ont pas recouru contre l'arrêt querellé (cf.</w:t>
      </w:r>
    </w:p>
    <w:p>
      <w:r>
        <w:t>infra consid. 3) -, l'intérêt personnel qu'ils auraient à prendre de telles conclusions n'apparaît pas d'emblée évident et ils ne l'expliquent pas dans leur mémoire. Les conclusions prises à cet égard sont donc d'emblée irrecevables.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t>En l'occurrence, dans la partie " En fait " de leur acte, les recourants présentent des " éléments complémentaires " qui ressortiraient des différentes déclarations des témoins et parties et dont le Tribunal cantonal n'aurait pas fait état. Faute de soulever un grief d'arbitraire dûment motivé à cet égard, ces éléments ne seront pas pris en considération.</w:t>
      </w:r>
    </w:p>
    <w:p>
      <w:r>
        <w:rPr>
          <w:b/>
        </w:rPr>
        <w:t>E. 3</w:t>
      </w:r>
    </w:p>
    <w:p>
      <w:r>
        <w:t>Seuls trois des héritiers institués par le</w:t>
      </w:r>
    </w:p>
    <w:p>
      <w:r>
        <w:t>de cujus dans son testament du 17 mars 2009 (cf.</w:t>
      </w:r>
    </w:p>
    <w:p>
      <w:r>
        <w:t>supra let. A.e) ont recouru contre le jugement attaqué devant la Cour de céans. Il n'est toutefois pas nécessaire d'examiner si les autres héritiers institués auraient également dû participer à la présente procédure - aux côtés des trois recourants ou en qualité d'intimés -, dès lors que le recours est, quoi qu'il en soit, voué à l'échec.</w:t>
      </w:r>
    </w:p>
    <w:p>
      <w:r>
        <w:rPr>
          <w:b/>
        </w:rPr>
        <w:t>E. 4</w:t>
      </w:r>
    </w:p>
    <w:p>
      <w:r>
        <w:t>Les recourants soutiennent tout d'abord que la requête des intimés aurait dû être déclarée irrecevable, faute pour eux d'avoir la qualité pour agir.</w:t>
      </w:r>
    </w:p>
    <w:p>
      <w:r>
        <w:t>Outre que la qualité pour agir (ou légitimation active) appartient aux conditions matérielles de la prétention litigieuse ( ATF 142 III 782 consid. 3.1.4; 138 III 537 consid. 2.2.1; 130 III 417 consid. 3.1) et non aux conditions de recevabilité de l'action, il apparaît que le grief, tel que formulé dans l'acte de recours, n'a pas de portée propre et se confond avec le grief de violation des art. 481 et 572 CC , qui sera traité ci-après (cf.</w:t>
      </w:r>
    </w:p>
    <w:p>
      <w:r>
        <w:t>infra consid. 5).</w:t>
      </w:r>
    </w:p>
    <w:p>
      <w:r>
        <w:rPr>
          <w:b/>
        </w:rPr>
        <w:t>E. 5</w:t>
      </w:r>
    </w:p>
    <w:p>
      <w:r>
        <w:t>Les recourants reprochent à la cour cantonale d'avoir violé les art. 481 et 572 al. 2 CC ainsi que le principe de l'interdiction de l'arbitraire en retenant que la part successorale de la Fondation J.________ devait revenir aux héritiers légaux du défunt.</w:t>
      </w:r>
    </w:p>
    <w:p>
      <w:r>
        <w:rPr>
          <w:b/>
        </w:rPr>
        <w:t>E. 5.1</w:t>
      </w:r>
    </w:p>
    <w:p>
      <w:r>
        <w:t>La cour cantonale a retenu que le testament du 17 mars 2009 ne comportait aucune clause expresse de substitution. Il ne ressortait pas non plus des clauses dudit testament que le</w:t>
      </w:r>
    </w:p>
    <w:p>
      <w:r>
        <w:t>de cujus entendait écarter définitivement les membres de sa famille, soit ses deux demi-frères, auxquels il avait d'ailleurs attribué des legs. Il n'existait ainsi aucun indice suffisant permettant de retenir l'existence d'une substitution vulgaire. Si le défunt avait voulu que les héritiers institués se remplacent réciproquement, il aurait dû le prévoir. Or, il n'avait rien prescrit de tel, le fait qu'il ait institué ses deux demi-frères légataires et réparti le solde de sa succession entre six héritiers institués étant insuffisant à cet égard. Le testament ne comportait aucun point d'appui permettant de considérer que les deux demi-frères qui, en vertu de l'institution d'héritier, avaient à céder le pas devant les héritiers institués, devaient aussi s'effacer si l'un de ceux-ci ne venait pas à la succession. Pour admettre que les héritiers institués aptes à succéder puissent se partager la part de la fondation inexistante, il fallait procéder à une interprétation complétive, fondée sur la volonté hypothétique du</w:t>
      </w:r>
    </w:p>
    <w:p>
      <w:r>
        <w:t>de cujus , qui consistait à déterminer la disposition que le testateur aurait prise s'il avait eu connaissance de la situation à l'ouverture de la succession. Toutefois, l'interprétation ne pouvait conduire à établir une volonté que le</w:t>
      </w:r>
    </w:p>
    <w:p>
      <w:r>
        <w:t>de cujus n'avait pas exprimée dans les formes prescrites.</w:t>
      </w:r>
    </w:p>
    <w:p>
      <w:r>
        <w:t>Dès lors que l'on ne pouvait tirer du texte du testament une volonté claire du disposant d'imposer une substitution vulgaire volontaire (accroissement), les héritiers légaux de feu H.B.________ devaient profiter de la part dévolue à la Fondation J.________, inexistante. La succession devait ainsi revenir à raison de 1/10 (1/2 de la part attribuée à la fondation précitée) à D.B.________ et de la même quote-part aux membres de la communauté héréditaire de K.B.________, à savoir E.B.________, F.B.________ et G.B.________.</w:t>
      </w:r>
    </w:p>
    <w:p>
      <w:r>
        <w:rPr>
          <w:b/>
        </w:rPr>
        <w:t>E. 5.2</w:t>
      </w:r>
    </w:p>
    <w:p>
      <w:r>
        <w:t>Soulignant que le testament litigieux est un testament public, de sorte que chaque mot qui y figure est " dûment pesé et lourd de sens ", les recourants constatent qu'après avoir institué un certain nombre de légataires (art. 1 du testament), le disposant a prévu que, " pour le solde ", sa succession irait aux héritiers qu'il a institués. L'articulation du texte ainsi que la précision " pour le solde " démontreraient que le testateur avait clairement exclu que les légataires désignés puissent " revenir à la succession à quel (sic) autre titre que ce soit ". Le testateur avait ainsi " fermé le cercle de ses héritiers " et prévu une " substitution fidéicommissaire " [recte: vulgaire] en faveur des héritiers institués. Il n'aurait pu en être autrement que s'il n'avait pas évoqué ses héritiers légaux dans son testament ou avait " institué en parallèle des légataires et des héritiers " de sorte que la qualité de légataire n'aurait pas exclu celle d'héritier, aucune de ces deux hypothèses n'étant réalisée en l'espèce. Par ailleurs, c'était sans doute parce qu'au moment où il avait testé, il était très improbable que l'un de ses héritiers institués ne vienne pas à la succession, que le testateur n'avait pas souligné expressément qu'il voulait exclure ses héritiers légaux. Une telle volonté pouvait également être déduite de la faible valeur des legs attribués aux héritiers légaux et de l'absence de rapports étroits entre ceux-ci et le défunt. La cour cantonale aurait ainsi dû écarter les héritiers légaux.</w:t>
      </w:r>
    </w:p>
    <w:p>
      <w:r>
        <w:rPr>
          <w:b/>
        </w:rPr>
        <w:t>E. 5.3.1</w:t>
      </w:r>
    </w:p>
    <w:p>
      <w:r>
        <w:t>Conformément à l' art. 481 CC , les dispositions pour cause de mort peuvent comprendre tout ou partie du patrimoine, dans les limites de la quotité disponible (al. 1). Les biens dont le défunt n'a point disposé passent à ses héritiers légaux (al. 2). Le principe énoncé à l' art. 481 al. 2 CC s'applique non seulement lorsque le défunt n'a pas disposé de tout ou partie de son patrimoine, mais aussi, de manière plus générale, chaque fois qu'une disposition pour cause de mort ne produit pas l'effet voulu par le disposant (STEINAUER, Droit des successions, 2ème éd. 2015, n° 302; COTTI, in: Commentaire du droit des successions, 2012, n° 8 ad art. 481 CC ). Tel est notamment le cas lorsqu'un héritier institué ne vient pas à la succession, à moins que les dispositions pour cause de mort ne révèlent une intention contraire de leur auteur (cf. art. 572 al. 2 CC , applicable par analogie aux cas dans lesquels un héritier ne vient pas à la succession pour une raison autre que la répudiation [STEINAUER, op. cit., n° 921]; STUDHALTER, in: OFK Kommentar, Schweizerisches Zivilgesetzbuch, 3ème éd. 2016, n° 5 ad art. 481 CC ). Il faut ainsi réserver une éventuelle substitution vulgaire prévue par le</w:t>
      </w:r>
    </w:p>
    <w:p>
      <w:r>
        <w:t>de cujus ( art. 487 CC ). Si une telle clause n'a pas à être expresse, elle doit toutefois ressortir des dispositions pour cause de mort; celles-ci doivent en effet contenir les éléments suffisants qui permettent de retenir que le</w:t>
      </w:r>
    </w:p>
    <w:p>
      <w:r>
        <w:t>de cujus a voulu une telle substitution ( ATF 64 II 186 ; MOOSER, La substitution légale et la substitution vulgaire, in: Journée de droit successoral 2018, p. 67 s. n° 60).</w:t>
      </w:r>
    </w:p>
    <w:p>
      <w:r>
        <w:rPr>
          <w:b/>
        </w:rPr>
        <w:t>E. 5.3.2</w:t>
      </w:r>
    </w:p>
    <w:p>
      <w:r>
        <w:t>Pour interpréter un testament, le juge doit partir de son texte, qui seul exprime valablement la volonté librement manifestée du disposant; toutefois, si les dispositions testamentaires manquent de clarté au point qu'elles peuvent être comprises aussi bien dans un sens que dans un autre, le juge peut interpréter les termes dont le testateur s'est servi en tenant compte de l'ensemble du testament, voire d'éléments extrinsèques, mais dans la mesure seulement où ils permettent d'élucider ou de corroborer une indication contenue dans le texte et d'éclairer la volonté manifestée dans les formes légales par le testateur ( ATF 131 III 106 consid. 1.1, 601 consid. 3.1; 124 III 414 consid. 3; 120 II 182 consid. 2a).</w:t>
      </w:r>
    </w:p>
    <w:p>
      <w:r>
        <w:t>Le Tribunal fédéral revoit librement l'interprétation des dispositions de dernière volonté. Il est toutefois lié par les constatations de fait, dont peuvent être déduites la volonté interne du disposant et les motifs qui l'ont inspiré ( ATF 131 III 106 consid. 2; 125 III 35 consid. 3a et les références; arrêt 5A_644/2015 du 24 novembre 2015 consid. 3.3.1).</w:t>
      </w:r>
    </w:p>
    <w:p>
      <w:r>
        <w:rPr>
          <w:b/>
        </w:rPr>
        <w:t>E. 5.4</w:t>
      </w:r>
    </w:p>
    <w:p>
      <w:r>
        <w:t>En tant que les recourants s'appuient sur des faits qui ne ressortent pas de l'arrêt attaqué - notamment sur le fait que le défunt et ses demi-frères n'étaient pas proches - sans soutenir que ces éléments auraient été arbitrairement écartés par la juridiction précédente ( art. 106 al. 2 LTF ; cf.</w:t>
      </w:r>
    </w:p>
    <w:p>
      <w:r>
        <w:t>supra consid. 2.2), leur critique est d'emblée irrecevable. Par ailleurs, contrairement à ce qu'ils soutiennent, on ne discerne pas en quoi le principe du</w:t>
      </w:r>
    </w:p>
    <w:p>
      <w:r>
        <w:t>favor testamenti - selon lequel, entre deux solutions possibles, il faut choisir la plus favorable au maintien de l'acte ( ATF 124 III 414 consid. 3 et les références; arrêt 5A_644/2015 précité consid. 3.3.1) - aurait été violé, la caducité de la clause instituant héritière la Fondation J.________ n'étant pas remise en cause.</w:t>
      </w:r>
    </w:p>
    <w:p>
      <w:r>
        <w:t>Pour le surplus, la motivation de la cour cantonale (cf.</w:t>
      </w:r>
    </w:p>
    <w:p>
      <w:r>
        <w:t>supra consid. 5.1) ne prête pas le flanc à la critique. Il est, en l'espèce, constant que le testament ne contient pas de clause de substitution expresse, pour le cas où l'un des héritiers institués ne serait pas en mesure de recevoir sa part. Le disposant n'a pas non plus explicitement exclu de sa succession ses demi-frères. Les recourants ne peuvent être suivis lorsqu'ils soutiennent que le fait que les intimés aient été inclus dans le cercle des légataires exclurait qu'ils recueillent une partie de la succession en qualité d'héritiers. En effet, outre que les qualités d'héritier et de légataire ne s'excluent pas nécessairement (cf. art. 486 al. 3 CC ), le testament ne contient - comme l'a à juste titre retenu la juridiction précédente - aucune indication quant au fait que les héritiers légaux, qui devaient s'effacer devant les héritiers institués par le</w:t>
      </w:r>
    </w:p>
    <w:p>
      <w:r>
        <w:t>de cujus , avaient également à leur céder le pas si l'un d'eux ne venait pas à la succession (cf. ATF 64 II 186 ; TUOR/PICENONI, in: Berner Kommentar, 2ème éd. 1964, n° 22 ad art. 572 CC ). L'argument des recourants selon lequel le testateur n'avait pas envisagé que l'une des fondations ou associations gratifiées ne vienne pas à la succession tombe à faux, dès lors que, s'il ressort de la disposition que son auteur n'a pas envisagé une substitution, celle-ci ne saurait être présumée sur la base d'éléments extrinsèques (MOOSER, op. cit., p. 68 n° 60).</w:t>
      </w:r>
    </w:p>
    <w:p>
      <w:r>
        <w:t>Au vu de ce qui précède, la cour cantonale n'a pas violé le droit fédéral en attribuant la part attribuée à la fondation inexistante aux héritiers légaux du</w:t>
      </w:r>
    </w:p>
    <w:p>
      <w:r>
        <w:t>de cujus . Infondé, le grief doit être rejeté dans la mesure de sa recevabilité.</w:t>
      </w:r>
    </w:p>
    <w:p>
      <w:r>
        <w:rPr>
          <w:b/>
        </w:rPr>
        <w:t>E. 6</w:t>
      </w:r>
    </w:p>
    <w:p>
      <w:r>
        <w:t>En conclusion, le recours est rejeté dans la mesure de sa recevabilité. Les recourants, qui succombent, supporteront les frais judiciaires, solidairement entre eux ( art. 66 al. 1 et 5 LTF ). Il n'est pas alloué de dépens aux intimés, qui n'ont pas été invités à répondre sur le fond et ont acquiescé à la demande d'effet suspensif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