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5A_212/2017 vom 21. März 2017</w:t>
      </w:r>
    </w:p>
    <w:p>
      <w:r>
        <w:t>Bundesgericht, 2017-03-21, FR</w:t>
      </w:r>
    </w:p>
    <w:p>
      <w:r>
        <w:rPr>
          <w:b/>
        </w:rPr>
        <w:t xml:space="preserve">Quelle: </w:t>
      </w:r>
      <w:r>
        <w:t>https://mcp.opencaselaw.ch/entscheid/bger_5A_212_2017</w:t>
      </w:r>
    </w:p>
    <w:p>
      <w:r>
        <w:t>FR: TF 5A_212/2017 du 21 mars 2017</w:t>
      </w:r>
    </w:p>
    <w:p>
      <w:r>
        <w:t>IT: TF 5A_212/2017 del 21 marzo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prononcé du 3 novembre 2016, le Juge de paix du district de Lavaux-Oron a levé définitivement, à concurrence de xxx fr. sans intérêts, l'opposition que A.________ a formée au commandement de payer notifié à la réquisition de l'Etat de Vaud (n° xxxxx de l'Office des poursuites du district de Lavaux-Oron). Le 27 décembre 2016, la Cour des poursuites et faillites du Tribunal cantonal du canton de Vaud a déclaré irrecevable le recours interjeté par la poursuivie à l'encontre de cette décision.</w:t>
      </w:r>
    </w:p>
    <w:p>
      <w:r>
        <w:rPr>
          <w:b/>
        </w:rPr>
        <w:t>E. 1.2</w:t>
      </w:r>
    </w:p>
    <w:p>
      <w:r>
        <w:t>Par mémoire du 15 mars 2017, la poursuivie forme un "</w:t>
      </w:r>
    </w:p>
    <w:p>
      <w:r>
        <w:t>recours en matière civile " contre l'arrêt de la cour cantonale, en formulant diverses conclusions et "</w:t>
      </w:r>
    </w:p>
    <w:p>
      <w:r>
        <w:t>requêtes spéciales ". Des déterminations n'ont pas été requises.</w:t>
      </w:r>
    </w:p>
    <w:p>
      <w:r>
        <w:rPr>
          <w:b/>
        </w:rPr>
        <w:t>E. 2</w:t>
      </w:r>
    </w:p>
    <w:p>
      <w:r>
        <w:t>La recourante récuse d'emblée les "</w:t>
      </w:r>
    </w:p>
    <w:p>
      <w:r>
        <w:t>juges fédéraux qui ont déjà pris des décisions dans cette affaire [...]". Dépourvue de précision quant aux magistrats visés et de toute motivation au sujet du motif de récusation invoqué ( art. 36 al. 1 LTF ), cette requête s'avère irrecevable (</w:t>
      </w:r>
    </w:p>
    <w:p>
      <w:r>
        <w:t>cf . AUBRY GIRARDIN,</w:t>
      </w:r>
    </w:p>
    <w:p>
      <w:r>
        <w:t>in : Commentaire de la LTF, 2e éd., nos 15 ss ad art. 36 LTF et les références).</w:t>
      </w:r>
    </w:p>
    <w:p>
      <w:r>
        <w:rPr>
          <w:b/>
        </w:rPr>
        <w:t>E. 3</w:t>
      </w:r>
    </w:p>
    <w:p>
      <w:r>
        <w:t>Quoi qu'en dise la recourante, la valeur litigieuse n'atteint aucunement 30'000 fr. ( art. 74 al. 1 let. b LTF ), comme l'a d'ailleurs constaté à juste titre la juridiction précédente ( art. 112 al. 1 let . d LTF). Il s'ensuit que le recours doit être traité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la juridiction précédente a retenu que l'appel interjeté par la recourante n'était pas motivé à satisfaction de droit, dès lors que celle-ci reprochait aux autorités judiciaires vaudoises d'ignorer des faits qu'elle tentait de leur expliquer depuis des années, mais ne formulait "</w:t>
      </w:r>
    </w:p>
    <w:p>
      <w:r>
        <w:t>aucun grief, motif ou moyen de recours " à l'encontre de la décision de mainlevée définitive.</w:t>
      </w:r>
    </w:p>
    <w:p>
      <w:r>
        <w:rPr>
          <w:b/>
        </w:rPr>
        <w:t>E. 4.2</w:t>
      </w:r>
    </w:p>
    <w:p>
      <w:r>
        <w:t>La recourante ne soutient pas que la juridiction précédente aurait appliqué arbitrairement l' art. 321 al. 1 CPC ou soumis son mémoire de recours à des exigences de motivation exagérément sévères ( art. 9 et 29 al. 1 Cst. , en relation avec l' art. 116 LTF ). Dénué de la moindre critique des motifs de l'arrêt déféré, le recours est irrecevable ( art. 106 al. 2 LTF , applicable par renvoi de l' art. 117 LTF ;</w:t>
      </w:r>
    </w:p>
    <w:p>
      <w:r>
        <w:t>cf . sur les exigences de motivation: ATF 133 III 439 consid. 3.2).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, applicable par renvoi de l' art. 117 LTF 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