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5A_211/2025 vom 27. August 2025</w:t>
      </w:r>
    </w:p>
    <w:p>
      <w:r>
        <w:t>Bundesgericht, 2025-08-27, FR</w:t>
      </w:r>
    </w:p>
    <w:p>
      <w:r>
        <w:rPr>
          <w:b/>
        </w:rPr>
        <w:t xml:space="preserve">Quelle: </w:t>
      </w:r>
      <w:r>
        <w:t>https://mcp.opencaselaw.ch/entscheid/bger_5A_211_2025</w:t>
      </w:r>
    </w:p>
    <w:p>
      <w:r>
        <w:t>FR: TF 5A_211/2025 du 27 août 2025</w:t>
      </w:r>
    </w:p>
    <w:p>
      <w:r>
        <w:t>IT: TF 5A_211/2025 del 27 agosto 2025</w:t>
      </w:r>
    </w:p>
    <w:p>
      <w:pPr>
        <w:pStyle w:val="Heading2"/>
      </w:pPr>
      <w:r>
        <w:t>Erwägungen</w:t>
      </w:r>
    </w:p>
    <w:p>
      <w:r>
        <w:rPr>
          <w:b/>
        </w:rPr>
        <w:t>E. 1</w:t>
      </w:r>
    </w:p>
    <w:p>
      <w:r>
        <w:t>Le recours a été déposé en temps utile ( art. 100 al. 1 LTF ) à l'encontre d'une décision finale ( art. 90 LTF ) prise sur recours par un tribunal supérieur ( art. 75 al. 1 et 2 LTF ) en matière de protection de l'adulte (art. 72 al. 2 let. b ch. 6 LTF). Le litige, qui se rapporte à une action en dommages-intérêts et réparation du tort moral au titre de la responsabilité étatique ( art. 454 ss CC ), est de nature pécuniaire (cf. arrêt 5A_571/2019 du 23 décembre 2019 consid. 1.1); la valeur litigieuse atteint en l'occurrence 30'000 fr., de telle sorte que le recours est recevable de ce chef ( art. 74 al. 1 let. b LTF ). Les recourants, qui ont succombé dans leurs conclusions, ont la qualité pour recourir ( art. 76 al. 1 LTF ).</w:t>
      </w:r>
    </w:p>
    <w:p>
      <w:r>
        <w:rPr>
          <w:b/>
        </w:rPr>
        <w:t>E. 2.1</w:t>
      </w:r>
    </w:p>
    <w:p>
      <w:r>
        <w:t>Selon l' art. 99 al. 1 LTF , aucun fait nouveau ni preuve nouvelle ne peut être présenté à moins de résulter de la décision de l'autorité précédente. Cette exception vise les faits qui sont rendus pertinents pour la première fois par la décision attaquée, par exemple concernant le déroulement de la procédure devant l'instance précédente afin d'en contester la régularité ( ATF 139 III 120 consid. 3.1.2) ou les faits postérieurs à l'arrêt attaqué permettant d'établir la recevabilité du recours ( ATF 136 III 123 consid. 4.4.3; arrêt 4A_285/2024 du 7 juillet 2025 consid. 2.4 et l'arrêt cité). De même, lorsque la décision de l'instance précédente est fondée sur un nouvel argument juridique auquel les parties n'avaient pas été confrontées précédemment, les recourants peuvent avancer devant le Tribunal fédéral les faits nouveaux qui démontrent que l'argumentation de l'instance précédente est contraire au droit ( ATF 136 III 123 consid. 4.4.3; arrêt 5A_263/2025 du 9 mai 2025 consid. 2.3). En dehors des cas prévus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 arrêt 4A_285/2024 précité, ibidem).</w:t>
      </w:r>
    </w:p>
    <w:p>
      <w:r>
        <w:rPr>
          <w:b/>
        </w:rPr>
        <w:t>E. 2.2</w:t>
      </w:r>
    </w:p>
    <w:p>
      <w:r>
        <w:t>Sous la lettre F du bordereau joint au présent recours, les recourants produisent des pièces qu'ils qualifient de " nouvelles, suite Décision de la Chambre de surveillance datée du 16 décembre 2024 et les NOVAS introduites en demande de Révision le 17 mars 2025". S'ils entendaient se prévaloir de l'admissibilité exceptionnelle des faits et preuves nouveaux, il leur aurait appartenu de démontrer la réalisation des conditions mentionnées ci-devant ( ATF 143 V 19 consid. 1.2; arrêt 5A_263/2025 précité, ibidem), ce qu'ils ne font pas. Partant, il ne sera pas tenu compte desdites pièces.</w:t>
      </w:r>
    </w:p>
    <w:p>
      <w:r>
        <w:rPr>
          <w:b/>
        </w:rPr>
        <w:t>E. 3.1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 principe d'allégation ", art. 106 al. 2 LTF ; ATF 149 III 81 consid. 1.3; 146 IV 114 consid. 2.1; 144 II 313 consid. 5.1).</w:t>
      </w:r>
    </w:p>
    <w:p>
      <w:r>
        <w:rPr>
          <w:b/>
        </w:rPr>
        <w:t>E. 3.2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3.1).</w:t>
      </w:r>
    </w:p>
    <w:p>
      <w:r>
        <w:t>Il ne sera dès lors pas tenu compte des faits présentés dans les parties " VI. PREAMBULE " et " VII. LES FAITS " du recours qui divergent de ceux constatés dans l'arrêt cantonal sans que soit soulevé à leur égard le grief d'arbitraire dans leur établissement. Les recourants se bornent en effet à cet égard à un exposé totalement appellatoire qui ne démontre pas en quoi les faits seraient manifestement inexacts ou auraient été arbitrairement omis.</w:t>
      </w:r>
    </w:p>
    <w:p>
      <w:r>
        <w:rPr>
          <w:b/>
        </w:rPr>
        <w:t>E. 4</w:t>
      </w:r>
    </w:p>
    <w:p>
      <w:r>
        <w:t>Les recourants ont conclu dans leur appel à ce que l'État de Genève soit condamné à leur verser 69'114 fr., soit 48'000 fr. de " loyer ", 5'400 fr. de " commission de courtage " et 15'000 fr. de " surfacturation de Madame E.________ " (ch. 2), 50'000 fr. " à titre de dommage[s] et intérêts pour le tort moral de feu Monsieur D.A.________ " (ch. 3) ainsi que 3'333 fr. 33 à chacun d'entre eux à titre de réparation morale (ch. 4 à 6). Ils reprennent ces chefs de conclusions dans le présent recours sous les chiffres 1 à 5. En ce qui concerne les conclusions 3 à 5 correspondant à celles prises en appel sous les chiffres 4 à 6, on cherche en vain une quelconque motivation qui s'en prendrait aux considérations de l'autorité cantonale selon lesquelles ces dernières étaient irrecevables, car nouvelles. Partant, elles sont irrecevables (cf. supra consid. 3.1).</w:t>
      </w:r>
    </w:p>
    <w:p>
      <w:r>
        <w:t>Les recourants formulent en outre de nombreux autres chefs de conclusions (ch. 6 à 18). S'agissant de ceux figurant sous les chiffres 6, 7, 13, 14, 15, 16 et 17, ils ne prétendent pas les avoir pris en instance cantonale ni ne se plaignent de ce qu'ils auraient été ignorés par l'instance précédente. Nouveaux, ils sont irrecevables ( art. 99 al. 2 LTF ), tout comme les embryons de griefs dont ils sont parfois assortis ( art. 42 al. 2 LTF ). En ce qui concerne les conclusions 8, 10 et 11 concernant les frais et dépens de première instance, elles ne sont assorties d'aucune critique qui s'en prendrait aux considérations de l'autorité cantonale les déclarant dépourvues de toute motivation et considérant, au demeurant, le jugement de première instance fondé en droit sur cette question. Le chef de conclusions final tendant au déboutement de toute autre ou contraire conclusion est une formule stéréotypée, s'apparentant à une clause de style, qu'il n'est pas possible d'assimiler à une conclusion sur le fond du litige (arrêt 4A_547/2013 du 26 novembre 2013 consid. 3).</w:t>
      </w:r>
    </w:p>
    <w:p>
      <w:r>
        <w:rPr>
          <w:b/>
        </w:rPr>
        <w:t>E. 5</w:t>
      </w:r>
    </w:p>
    <w:p>
      <w:r>
        <w:t>Autant qu'on puisse les comprendre, les recourants se plaignent du fait que le Tribunal de protection aurait privé leur père de sa faculté de disposer des éléments de son patrimoine sur la seule base du courrier de la curatrice du 12 avril 2017 faisant état de la " grande méfiance " du précité à l'égard de cette dernière et " des difficultés à collaborer " qu'il présentait.</w:t>
      </w:r>
    </w:p>
    <w:p>
      <w:r>
        <w:t>Force est toutefois de relever que cette critique excède le cadre de la présente cause qui ressortit à la responsabilité du curateur pour d'éventuels manquements ( art. 454 ss CC ) et non à la conformité au droit de la décision ayant ordonné la mesure de protection.</w:t>
      </w:r>
    </w:p>
    <w:p>
      <w:r>
        <w:rPr>
          <w:b/>
        </w:rPr>
        <w:t>E. 6</w:t>
      </w:r>
    </w:p>
    <w:p>
      <w:r>
        <w:t>Les recourants contestent que leur action en dommages-intérêts et en paiement d'une somme d'argent à titre de réparation morale soit prescrite.</w:t>
      </w:r>
    </w:p>
    <w:p>
      <w:r>
        <w:rPr>
          <w:b/>
        </w:rPr>
        <w:t>E. 6.1</w:t>
      </w:r>
    </w:p>
    <w:p>
      <w:r>
        <w:t>La Chambre civile a examiné la question de la prescription à titre principal et les autres griefs tirés du caractère illicite de la vente du chalet et de la commission de courtage ainsi que de la " réalité " du tort moral éprouvé par le père des recourants " à titre superfétatoire ".</w:t>
      </w:r>
    </w:p>
    <w:p>
      <w:r>
        <w:t>S'agissant plus singulièrement de la prescription, elle a déclaré non fondé le grief des recourants selon lequel celle-là avait commencé à courir le 18 mai 2021, et non le 5 avril 2018. Elle a jugé qu'il était, en l'espèce, incontesté qu'une curatrice de représentation du père des appelants avait été nommée le 5 avril 2018 [ recte 27 mars 2018], après avoir été mandatée en qualité d'avocate par la personne protégée, et qu'elle avait pu prendre connaissance de la vente du chalet, y compris des conditions de celle-ci (prix, commission de courtage) et de l'état locatif précédant la vente, lors de sa consultation du dossier qui était intervenue le 5 avril 2018.</w:t>
      </w:r>
    </w:p>
    <w:p>
      <w:r>
        <w:t>Elle a considéré qu'à l'instar de ce qu'avait retenu le Tribunal de première instance, la curatrice de représentation avait été en mesure de comprendre qu'il n'y aurait plus de revenus locatifs en raison de ladite vente. Celle-là avait au demeurant déterminé ce qu'elle entendait apprendre par sa consultation du dossier, puisque, dans son courrier au Tribunal de protection du 22 mars 2018, elle avait fait spécifiquement allusion à la vente du bien immobilier, arguant que le protégé ne comprenait pas cet acte. Dans sa lettre du 5 avril 2018, rédigée après consultation de la procédure, elle avait aussi mentionné la vente des biens immobiliers, ce qui démontrait qu'elle avait compris ce qu'il en était. Toute articulation de prétentions en dommages-intérêts, de même qu'en tort moral lié à la vente du chalet, aurait pu et dû être effectuée dans un délai d'une année (art. 60 al. 1 aCO; art. 49 al. 1 Tit. fin. CC ) à compter de la date de prise de connaissance du dossier. Puisqu'il était établi que cela n'avait pas eu lieu dans ce délai, la prescription était acquise lors des premières manifestations ayant trait à ce point, qui dataient de 2021.</w:t>
      </w:r>
    </w:p>
    <w:p>
      <w:r>
        <w:t>L'autorité cantonale a en outre relevé que les protestations des appelants, selon lesquelles la curatrice n'aurait pas pu agir à temps parce qu'"elle ne pouvait pas s'entretenir avec son protégé et n'ayant pas connaissance de l'attachement de ce dernier et de sa famille à ce bien " de sorte qu'elle " ne pouvait pas seule décider de recourir contre la vente déjà intervenue et autorisée " par le Tribunal de protection, étaient sans pertinence. C'était en effet en tout état de cause au représentant légal que revenait l'exercice de l'action en dommages-intérêts lorsque la victime supposée était dépourvue de la capacité d'exercer les droits civils.</w:t>
      </w:r>
    </w:p>
    <w:p>
      <w:r>
        <w:rPr>
          <w:b/>
        </w:rPr>
        <w:t>E. 6.2</w:t>
      </w:r>
    </w:p>
    <w:p>
      <w:r>
        <w:t>Les recourants opposent que ces " arguments [...] ne peuvent pas être acceptables ". Ils affirment que le mandat donné à M</w:t>
      </w:r>
    </w:p>
    <w:p>
      <w:r>
        <w:t>e F.________ ne permettait pas à cette dernière " d'engager une procédure en responsabilité contre l'État, dans le cadre de la suppression des revenus locatifs et la perte du chalet " et que feu leur père " n'a pas pu agir de son vivant pour demander réparation ". Ils allèguent que la procédure civile pendante visée dans la décision du 27 mars 2018 désignant M</w:t>
      </w:r>
    </w:p>
    <w:p>
      <w:r>
        <w:t>e F.________ comme " curateur d'office " était " le recours formulé par B.________ en mai 2017, demandant la nomination d'un nouveau curateur ", que, cette procédure s'étant terminée par la décision d'irrecevabilité du 27 novembre 2017, la désignation de la prénommée était " hors sujet e t délai ", que celle-là " n'a jamais été habilitée par le TPAE pour défendre les intérêts [de feu leur père] dans le cadre de la vente du chalet ", qu'elle était " dans l'impossibilité manifeste de pouvoir intenter une action du vivant du protégé "et que son mandat a pris fin avec l'ordonnance du 23 mai 2018 désignant un nouveau curateur. Retenant que seule la curatrice E.________ " rempli[ssait] la fonction de représentant légal " de leur défunt père, ils se demandent comment cette dernière aurait pu "engendrer une action en dommages-intérêts " alors qu'elle était " l'instigatrice " de la curatelle de portée générale, de la privation des droits civils, de la vente du chalet, et de la " privation des revenus en découlant (loyers entre février 2018 à avril 2020) ".</w:t>
      </w:r>
    </w:p>
    <w:p>
      <w:r>
        <w:rPr>
          <w:b/>
        </w:rPr>
        <w:t>E. 6.3</w:t>
      </w:r>
    </w:p>
    <w:p>
      <w:r>
        <w:t>Cette argumentation est dépourvue de tout fondement. Les recourants contestent que M</w:t>
      </w:r>
    </w:p>
    <w:p>
      <w:r>
        <w:t>e F.________ ait été désignée aux fins de défendre les intérêts de feu leur père s'agissant de la vente des biens immobiliers. Leurs affirmations - au demeurant purement appellatoires (cf. supra consid. 3.2) - procèdent toutefois d'une mauvaise compréhension des faits de procédure. La désignation de Me F.________ s'inscrivait à l'évidence dans le cadre de la vente des biens immobiliers de la personne concernée, et non du recours interjeté par B.________ contre la décision nommant la curatrice E.________. Il ressort en effet de l'arrêt entrepris, sans que les recourants soulèvent aucun grief (cf. supra consid. 3), que, par courrier du 22 mars 2018, M</w:t>
      </w:r>
    </w:p>
    <w:p>
      <w:r>
        <w:t>e F.________ a indiqué au Tribunal de protection avoir été mandatée par le père des recourants, motif pris que ce dernier ne comprenait pas pourquoi son bien immobilier avait été vendu sans qu'il en soit informé au préalable alors que ses revenus lui permettaient de payer tous ses frais d'EMS et que c'est à la suite de cette intervention qu'elle a été désignée comme curatrice d'office par décision du 27 mars 2018. Dans sa lettre du 5 avril 2018, rédigée après consultation du dossier du même jour, elle s'est par ailleurs étonnée qu'autant d'actes irréversibles soient effectués par la curatrice E.________, avec l'accord du Tribunal de protection, notamment la vente de tous les biens immobiliers de son mandant, alors qu'un changement de curateur était sollicité.</w:t>
      </w:r>
    </w:p>
    <w:p>
      <w:r>
        <w:rPr>
          <w:b/>
        </w:rPr>
        <w:t>E. 6.4</w:t>
      </w:r>
    </w:p>
    <w:p>
      <w:r>
        <w:t>Les recourants ont échoué à critiquer la motivation principale de la Chambre civile fondée sur la prescription des prétentions en dommages-intérêts et réparation du tort moral, ce qui scelle le sort du recours, sans qu'il y ait lieu d'examiner les griefs qu'ils soulèvent contre les considérations au fond prises " à titre superfétatoire " par l'autorité intimée.</w:t>
      </w:r>
    </w:p>
    <w:p>
      <w:r>
        <w:t>Quoi qu'il en soit, les critiques qu'ils formulent à cet égard sous les intitulés " C. Pertes des revenus locatif[s] et diminution patrimoine " et " IX. En finalité " se résument en un exposé appellatoire des faits (cf. supra consid. 3.2) et à une simple liste de dispositions et principes juridiques qui auraient été violés (cf. supra consid. 3.1), de telle sorte qu'elles seraient irrecevables.</w:t>
      </w:r>
    </w:p>
    <w:p>
      <w:r>
        <w:rPr>
          <w:b/>
        </w:rPr>
        <w:t>E. 7</w:t>
      </w:r>
    </w:p>
    <w:p>
      <w:r>
        <w:t>Vu ce qui précède, le recours doit être rejeté dans la très faible mesure de sa recevabilité. Les recourants, qui succombent, supporteront les frais de la procédure, solidairement entre eux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