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5A_209/2024 vom 4. April 2024</w:t>
      </w:r>
    </w:p>
    <w:p>
      <w:r>
        <w:t>Bundesgericht, 2024-04-04, DE</w:t>
      </w:r>
    </w:p>
    <w:p>
      <w:r>
        <w:rPr>
          <w:b/>
        </w:rPr>
        <w:t xml:space="preserve">Quelle: </w:t>
      </w:r>
      <w:r>
        <w:t>https://mcp.opencaselaw.ch/entscheid/bger_5A_209_2024</w:t>
      </w:r>
    </w:p>
    <w:p>
      <w:r>
        <w:t>FR: TF 5A_209/2024 du 4 avril 2024</w:t>
      </w:r>
    </w:p>
    <w:p>
      <w:r>
        <w:t>IT: TF 5A_209/2024 del 4 aprile 2024</w:t>
      </w:r>
    </w:p>
    <w:p>
      <w:pPr>
        <w:pStyle w:val="Heading2"/>
      </w:pPr>
      <w:r>
        <w:t>Erwägungen</w:t>
      </w:r>
    </w:p>
    <w:p>
      <w:r>
        <w:rPr>
          <w:b/>
        </w:rPr>
        <w:t>E. 1</w:t>
      </w:r>
    </w:p>
    <w:p>
      <w:r>
        <w:t>Gegen den Entscheid der oberen oder einzigen kantonalen Aufsichtsbehörde in Schuldbetreibungs- und Konkurssachen ist die Beschwerde in Zivilsachen streitwertunabhängig gegeben ( Art. 19 SchKG i.V.m. Art. 72 Abs. 2 lit. a, Art. 74 Abs. 2 lit. c und Art. 75 Abs. 1 BGG ).</w:t>
      </w:r>
    </w:p>
    <w:p>
      <w:r>
        <w:rPr>
          <w:b/>
        </w:rPr>
        <w:t>E. 2</w:t>
      </w:r>
    </w:p>
    <w:p>
      <w:r>
        <w:t>Die Aufsichtsbehörde hat erwogen, in den Rechtsöffnungsverfahren sei dem Beschwerdeführer die verfahrenseinleitende Verfügung jeweils polizeilich zugestellt worden, weshalb er mit weiteren Zustellungen habe rechnen müssen, und die Rechtsöffnungsentscheide seien ihm mit eingeschriebener Post avisiert worden, wobei er diese jeweils nicht abgeholt und mithin die gesetzliche Zustellfiktion gegriffen habe. Weiter hat es erwogen, im Rahmen des eigentlichen Betreibungsverfahrens finde keine Anhörung statt und eine Vereinbarung zur Abzahlung der offenen Forderungen wäre direkt mit der Steuerverwaltung und nicht mit dem Betreibungsamt auszuhandeln. Schliesslich hat es erwogen, der Miteigentumsanteil sei unabhängig davon, ob es sich um eine landwirtschaftliche Parzelle handle, pfändbar und der Beschwerdeführer zeige nicht auf, inwiefern diese allenfalls Kompetenzgut sein könnte, zumal er bei der B.________ AG angestellt sei. Insgesamt seien somit keine Verfahrensfehler seitens des Betreibungsamtes erkennbar.</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4</w:t>
      </w:r>
    </w:p>
    <w:p>
      <w:r>
        <w:t>Der Beschwerdeführer setzt sich mit den ausführlichen (vorstehend in stark zusammenfassender Weise wiedergegeben) Erwägungen des angefochtenen Entscheides nicht in sachgerichteter Weise auseinander, wenn er sich auf das erneute Vortragen seiner kantonalen Behauptungen beschränkt (es habe keine Anhörung zu den Betreibungen bzw. zur Pfändungsurkunde stattgefunden und er habe keine Chance zur Stellungnahme auf dem Betreibungsamt gehabt; das Betreibungsamt habe mit ihm nie einen Abzahlungsplan vereinbart; das gepfändete Miteigentumsgrundstück unterstehe dem bäuerlichen Bodenrecht und falle somit unter Art. 92 Abs. 3 SchKG ).</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Entscheid in der Sache wird das Gesuch um aufschiebende Wirkung gegenstandslos.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