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209/2023 vom 12. April 2023</w:t>
      </w:r>
    </w:p>
    <w:p>
      <w:r>
        <w:t>Bundesgericht, 2023-04-12, FR</w:t>
      </w:r>
    </w:p>
    <w:p>
      <w:r>
        <w:rPr>
          <w:b/>
        </w:rPr>
        <w:t xml:space="preserve">Quelle: </w:t>
      </w:r>
      <w:r>
        <w:t>https://mcp.opencaselaw.ch/entscheid/bger_5A_209_2023</w:t>
      </w:r>
    </w:p>
    <w:p>
      <w:r>
        <w:t>FR: TF 5A 209/2023 du 12 avril 2023</w:t>
      </w:r>
    </w:p>
    <w:p>
      <w:r>
        <w:t>IT: TF 5A 209/2023 del 12 aprile 2023</w:t>
      </w:r>
    </w:p>
    <w:p>
      <w:pPr>
        <w:pStyle w:val="Heading2"/>
      </w:pPr>
      <w:r>
        <w:t>Regeste</w:t>
      </w:r>
    </w:p>
    <w:p>
      <w:r>
        <w:t>demande de nouvelle expertise du gage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17 février 2023, la Présidente du Tribunal d'arrondissement de La Côte a déclaré irrecevable la demande de seconde estimation du gage formée le 4 novembre 2022 par A.________ (I) et révoqué l'effet suspensif octroyé le 21 novembre 2022 (II). Par décision du 6 mars 2023, le Président de la Cour des poursuites et faillites du Tribunal cantonal vaudois a rejeté la requête d'effet suspensif contenue dans l'acte de recours du poursuivi.</w:t>
      </w:r>
    </w:p>
    <w:p>
      <w:r>
        <w:rPr>
          <w:b/>
        </w:rPr>
        <w:t>E. 2</w:t>
      </w:r>
    </w:p>
    <w:p>
      <w:r>
        <w:t>Par écriture expédiée le 13 mars 2023,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 Il est superflu de vérifier les autres conditions de recevabilité, ce procédé étant voué à l'échec.</w:t>
      </w:r>
    </w:p>
    <w:p>
      <w:r>
        <w:rPr>
          <w:b/>
        </w:rPr>
        <w:t>E. 4</w:t>
      </w:r>
    </w:p>
    <w:p>
      <w:r>
        <w:t>De jurisprudence constante, la décision qui refuse (ou accorde) l'effet suspensif à une plainte ou à un recours ( art. 36 LP ) a pour objet des mesures provisionnelles au sens de l' art. 98 LTF (arrêt 5A_172/2022 du 10 mars 2022 consid. 5, avec les citations; en général: ATF 137 III 475 consid. 2; 134 II 192 consid. 1.5). Le recourant ne peut ainsi dénoncer qu'une violation de ses droits constitutionnels, moyen qu'il est tenu de motiver conformément à l' art. 106 al. 2 LTF ( ATF 134 II 349 consid. 3; 135 III 232 consid. 1.2 et les citations). En l'espèce, le juge précédent a rejeté la requête, faute de motivation quant au " dommage irréparable " que la décision attaquée serait propre à causer au poursuivi. Or, l'intéressé ne soulève pas le moindre grief de nature constitutionnelle à l'encontre de ce motif, mais remet en cause la valeur retenue dans l'expertise contestée ( i.e. 1'280'000 fr.), qui ne tiendrait pas compte de plusieurs travaux à exécuter. Il s'ensuit que le recours est entièrement irrecevable.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