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5A_209/2019 vom 13. März 2019</w:t>
      </w:r>
    </w:p>
    <w:p>
      <w:r>
        <w:t>Bundesgericht, 2019-03-13, DE</w:t>
      </w:r>
    </w:p>
    <w:p>
      <w:r>
        <w:rPr>
          <w:b/>
        </w:rPr>
        <w:t xml:space="preserve">Quelle: </w:t>
      </w:r>
      <w:r>
        <w:t>https://mcp.opencaselaw.ch/entscheid/bger_5A_209_2019</w:t>
      </w:r>
    </w:p>
    <w:p>
      <w:r>
        <w:t>FR: TF 5A_209/2019 du 13 mars 2019</w:t>
      </w:r>
    </w:p>
    <w:p>
      <w:r>
        <w:t>IT: TF 5A_209/2019 del 13 marzo 2019</w:t>
      </w:r>
    </w:p>
    <w:p>
      <w:pPr>
        <w:pStyle w:val="Heading2"/>
      </w:pPr>
      <w:r>
        <w:t>Erwägungen</w:t>
      </w:r>
    </w:p>
    <w:p>
      <w:r>
        <w:rPr>
          <w:b/>
        </w:rPr>
        <w:t>E. 1</w:t>
      </w:r>
    </w:p>
    <w:p>
      <w:r>
        <w:t>Aus der Eingabe wird nicht klar, ob sich der Beschwerdeführer gegen das erste oder gegen das zweite oder gegen beide Urteile wendet. Indes kann, wie die nachfolgenden Erwägungen zeigen, auf die Beschwerde so oder anders nicht eingetreten werden.</w:t>
      </w:r>
    </w:p>
    <w:p>
      <w:r>
        <w:rPr>
          <w:b/>
        </w:rPr>
        <w:t>E. 2</w:t>
      </w:r>
    </w:p>
    <w:p>
      <w:r>
        <w:t>Das Urteil vom 30. Januar 2019 wurde dem Beschwerdeführer am 1. Februar 2019 zugestellt. Die 30-tägige Beschwerdefrist ( Art. 100 Abs. 1 BGG ) lief somit am 4. März 2019 ab ( Art. 44 Abs. 1 und Art. 45 Abs. 1 BGG ) und die am 8. März 2019 der Post übergebene Beschwerde ist diesbezüglich verspätet.</w:t>
      </w:r>
    </w:p>
    <w:p>
      <w:r>
        <w:rPr>
          <w:b/>
        </w:rPr>
        <w:t>E. 3</w:t>
      </w:r>
    </w:p>
    <w:p>
      <w:r>
        <w:t>Das Urteil vom 12. Februar 2019 wurde bislang erst im Dispositiv eröffnet.</w:t>
      </w:r>
    </w:p>
    <w:p>
      <w:r>
        <w:t>§ 59 Abs. 4 EG ZGB/AG sieht die Möglichkeit vor, dass die Eröffnung des Urteils vorerst auf die Zustellung des Dispositives beschränkt wird, verbunden mit dem Hinweis, dass innert 30 Tagen eine schriftlich begründete Ausfertigung verlangt werden kann.</w:t>
      </w:r>
    </w:p>
    <w:p>
      <w:r>
        <w:t>Art. 112 Abs. 2 BGG eröffnet den Kantonen diese Option und bestimmt, dass diesfalls erst gegen das vollständig ausgefertigte Urteil beim Bundesgericht Beschwerde erhoben werden kann. Das Verwaltungsgericht hat in der Eröffnung des Dispositives denn auch darauf hingewiesen, dass erst gegen das vollständig ausgefertigte Urteil ein Rechtsmittel gegeben ist.</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