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5A_208/2014 vom 30. Juli 2014</w:t>
      </w:r>
    </w:p>
    <w:p>
      <w:r>
        <w:t>Bundesgericht, 2014-07-30, FR</w:t>
      </w:r>
    </w:p>
    <w:p>
      <w:r>
        <w:rPr>
          <w:b/>
        </w:rPr>
        <w:t xml:space="preserve">Quelle: </w:t>
      </w:r>
      <w:r>
        <w:t>https://mcp.opencaselaw.ch/entscheid/bger_5A_208_2014</w:t>
      </w:r>
    </w:p>
    <w:p>
      <w:r>
        <w:t>FR: TF 5A_208/2014 du 30 juillet 2014</w:t>
      </w:r>
    </w:p>
    <w:p>
      <w:r>
        <w:t>IT: TF 5A_208/2014 del 30 luglio 2014</w:t>
      </w:r>
    </w:p>
    <w:p>
      <w:pPr>
        <w:pStyle w:val="Heading2"/>
      </w:pPr>
      <w:r>
        <w:t>Erwägungen</w:t>
      </w:r>
    </w:p>
    <w:p>
      <w:r>
        <w:rPr>
          <w:b/>
        </w:rPr>
        <w:t>E. 1</w:t>
      </w:r>
    </w:p>
    <w:p>
      <w:r>
        <w:t>La décision litigieuse, qui nie tout retard et refus de la Présidente du Tribunal civil de l'arrondissement de La Côte de statuer sur mesures provisionnelles, dans le contexte d'une procédure de divorce, portant notamment sur la contribution d'entretien et le déblocage d'un avoir bancaire, est de nature civile ( art. 72 al. 1 LTF ) pécuniaire, dont la valeur litigieuse atteint manifestement 30'000 fr. (art. 51 al. 1 let. a et al. 4, 74 al. 1 let. b LTF). Interjeté en temps utile ( art. 100 al. 1 LTF ) et dans les formes requises ( art. 42 al. 1 LTF ) par une partie qui a succombé devant l'autorité précédente et a un intérêt à la modification ou à l'annulation de l'arrêt entrepris ( art. 76 al. 1 LTF ), contre une décision rendue sur recours en dernière instance cantonale par un tribunal supérieur ( art. 75 al. 1 LTF ), le présent recours est recevable au regard de ces dispositions.</w:t>
      </w:r>
    </w:p>
    <w:p>
      <w:r>
        <w:t>La recevabilité du recours en matière civile suppose en outre que celui-ci soit dirigé contre une décision finale ( art. 90 LTF ), ou contre une décision préjudicielle ou incidente notifiée séparément si elle est susceptible de causer un préjudice irréparable ou si l'admission du recours peut conduire immédiatement à une décision finale qui permet d'éviter une procédure probatoire longue et coûteuse ( art. 93 al. 1 let. a et b LTF ; arrêts 5A_371/2012 du 22 août 2012 consid. 2; 5A_870/2011 du 23 février 2012 consid. 1.2). En l'espèce, la recourante ne discute pas cet aspect de la recevabilité dans son mémoire de recours. Il apparaît cependant que l'arrêt entrepris constitue une décision incidente de nature à causer un préjudice irréparable à la recourante ( art. 93 al. 1 let. a LTF ), dans la mesure où l'écoulement du temps ne ferait que perdurer la situation dommageable alléguée, à savoir la violation du droit à ce qu'une chose soit jugée dans un délai raisonnable ( art. 29 al. 1 Cst. ). Le recours devant le Tribunal de céans est ainsi en principe recevable.</w:t>
      </w:r>
    </w:p>
    <w:p>
      <w:r>
        <w:rPr>
          <w:b/>
        </w:rPr>
        <w:t>E. 2</w:t>
      </w:r>
    </w:p>
    <w:p>
      <w:r>
        <w:t>La décision attaquée s'inscrivant dans le cadre d'une procédure de divorce, singulièrement dans le contexte du prononcé de mesures provisionnelles au sens de l' art. 98 LTF ( ATF 133 III 393 consid. 5 p. 396), seule peut être dénoncée la violation des droits constitutionnels. Le Tribunal fédéral n'examine de tels griefs que s'ils ont été invoqués et motivés conformément au principe d'allégation ( art. 106 al. 2 LTF ), à savoir s'ils ont été expressément soulevés et exposés de manière claire et détaillée ( ATF 133 IV 286 consid. 1.4 p. 287).</w:t>
      </w:r>
    </w:p>
    <w:p>
      <w:r>
        <w:t>En tant que la recourante se plaint de ce que la cour cantonale a violé, d'une part, la maxime inquisitoire ( art. 276 CPC ) et, d'autre part, l' art. 265 al. 2 CPC , ces deux griefs sont d'emblée irrecevables, aucun droit fondamental susceptible d'être invoqué dans le cadre d'un recours soumis à l' art. 98 LTF n'étant soulevé, même de manière implicite ( art. 106 al. 2 LTF ; arrêt 5A_249/2012 du 5 juillet 2012 consid. 4).</w:t>
      </w:r>
    </w:p>
    <w:p>
      <w:r>
        <w:rPr>
          <w:b/>
        </w:rPr>
        <w:t>E. 3</w:t>
      </w:r>
    </w:p>
    <w:p>
      <w:r>
        <w:t>Le recours a pour objet le prétendu retard à statuer, voire le refus de le faire, de la Présidente du Tribunal d'arrondissement, à titre de mesures provisionnelles, sur deux objet, à savoir le déblocage du compte bancaire Banque C.________ et la contribution d'entretien en faveur de la fille des parties. Le recours tend à ce qu'il soit constaté que le retard est injustifié et à ce que la Présidente soit enjointe à statuer, puis à rendre une ordonnance de mesures provisionnelles motivée dans un délai de trente jours.</w:t>
      </w:r>
    </w:p>
    <w:p>
      <w:r>
        <w:t>La Chambre des recours civile a d'abord constaté que les parties ont déposé plusieurs requêtes de mesures superprovisionnelles et provisionnelles, ainsi qu'en production de preuves, que ces requêtes ont toutes été suivies d'ordonnances de mesures superprovisionnelle, à savoir les ordonnances des 16 mai, 29 août, 22 novembre et 24 décembre 2013, et que cette activité est à l'origine de nombreuses complications de procédure. La cour cantonale a ensuite relevé que l'audience de mesures provisionnelles du 18 novembre 2013 avait abouti à une transaction partielle, ratifiée pour valoir ordonnance de mesures provisionnelles, de sorte qu'une décision provisionnelle a déjà été rendue sur certains objets.</w:t>
      </w:r>
    </w:p>
    <w:p>
      <w:r>
        <w:t>S'agissant des conclusions tendant au déblocage du compte bancaire Banque C.________, la Chambre des recours civile a retenu que, si ce compte faisait effectivement l'objet d'un chiffre du dispositif de l'ordonnance de mesures protectrices de l'union conjugale du 5 janvier 2011 - décision annulée par arrêt du 11 mai 2011 -, l'ouverture de l'action en divorce, puis les diverses requêtes de mesures urgentes formées à ce sujet, ainsi que les ordonnances de mesures superprovisionnelles qui ont suivi, ont rendu caduques les mesures protectrices initiales, de sorte qu'il n'y a pas, selon la cour cantonale, de retard injustifié à statuer sur cet aspect, à titre de mesures superprovisionnelles à tout le moins. A titre de mesures provisionnelles, l'autorité précédente a constaté qu'aucune décision sur ce sujet n'a encore été rendue, mais que, depuis le 22 novembre 2013 - date de l'avant-dernière décision de mesures superprovisionnelles rejetant la conclusion de l'épouse relative au compte bancaire -, la Présidente a effectué de nombreuses opérations, "quasi quotidiennement" dans le cadre de la procédure de divorce, de sorte qu'il ne saurait lui être reproché un déni de justice.</w:t>
      </w:r>
    </w:p>
    <w:p>
      <w:r>
        <w:t>Quant à la question de la contribution d'entretien en faveur de l'enfant, la Chambre des recours civile a constaté que l'entretien n'a effectivement plus fait l'objet ni d'instruction, ni de décision depuis le prononcé de mesures protectrices de l'union conjugale du 5 janvier 2011, respectivement depuis son annulation le 11 mai 2011, à savoir une période de trente mois à la date du dépôt du premier recours. Toutefois, l'autorité précédente a considéré que l'épouse se plaint d'un retard injustifié à statuer dans le cadre des mesures provisionnelles durant la procédure de divorce, alors que cette question n'a été évoquée par les parties dans ce contexte que le 20 décembre 2013, lorsque l'époux a déposé un procédé écrit prenant des conclusions à ce sujet. Bien que la maxime inquisitoire illimitée soit applicable à cette question, la cour cantonale a estimé, vu l'absence de conclusions tendant au versement d'une contribution d'entretien pour l'enfant, dans le cadre des mesures provisionnelles, que l'épouse ne saurait se plaindre de ce que la Présidente n'ait pas encore rendu de décision provisionnelle sur cet aspect.</w:t>
      </w:r>
    </w:p>
    <w:p>
      <w:r>
        <w:t>Enfin, s'agissant de "l'opportunité de fixer un délai de trente jours" à la Présidente pour qu'elle statue, à la suite de l'audience du 17 mars 2014, la Chambre des recours civile a jugé que la magistrate "a toujours statué sans retard quand elle était en mesure de le faire", partant qu'il ne pouvait pas être présumé qu'elle tardera à rendre une décision de nature provisionnelle.</w:t>
      </w:r>
    </w:p>
    <w:p>
      <w:r>
        <w:rPr>
          <w:b/>
        </w:rPr>
        <w:t>E. 4</w:t>
      </w:r>
    </w:p>
    <w:p>
      <w:r>
        <w:t>La recourante critique le retard injustifié à statuer, voire le refus de le faire, de la Présidente du Tribunal d'arrondissement, contestant l'appréciation de la Chambre des recours civile qui a estimé, au regard de l' art. 29 al. 1 Cst. , que la magistrate avait quasi quotidiennement effectué des démarches. Elle expose que la date déterminante n'est pas celle de l'avant-dernière décision de mesures superprovisionnelles, mais bien la première requête de mesures provisionnelles concluant au déblocage partiel de l'avoir Banque C.________, du 16 août 2013; dès lors, son recours pour déni de justice a précisément pour objectif de provoquer une décision de mesures provisionnelles, puisqu'aucune décision de cette nature n'a été rendue. La recourante relève donc que l'activité quasi quotidienne de la magistrate ne couvre pas toute la période en cause. Elle précise enfin que ce retard, voire ce refus, entraîne un dommage financier. S'agissant de la décision sur la contribution d'entretien de l'enfant, se référant à la décision de renvoi rendue dans le cadre des mesures protectrices de l'union conjugale, elle critique le raisonnement de la cour cantonale selon lequel elle n'aurait pris aucune conclusion à ce sujet en mesures provisionnelles.</w:t>
      </w:r>
    </w:p>
    <w:p>
      <w:r>
        <w:rPr>
          <w:b/>
        </w:rPr>
        <w:t>E. 4.1</w:t>
      </w:r>
    </w:p>
    <w:p>
      <w:r>
        <w:t>L' 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131 V 407 consid. 1.1 p. 409; 130 I 312 consid. 5.1 p. 331; 129 V 411 consid. 1.2 p. 416). A cet égard, il y a lieu de se fonder sur des éléments objectifs.</w:t>
      </w:r>
    </w:p>
    <w:p>
      <w:r>
        <w:rPr>
          <w:b/>
        </w:rPr>
        <w:t>E. 4.2</w:t>
      </w:r>
    </w:p>
    <w:p>
      <w:r>
        <w:t>Les mesures protectrices de l'union conjugale ordonnées avant le dépôt de l'action en divorce demeurent en vigueur au delà de l'ouverture de la procédure de divorce; elles deviennent des mesures provisionnelles (arrêts 5A_933/2012 du 17 mai 2013 consid. 5.2; 5A_547/2012 du 14 mars 2013 consid. 4.2). En l'occurrence, l'arrêt du 11 mai 2011 de renvoi à l'autorité de première instance pour complément d'instruction et nouveau jugement sur mesures protectrices de l'union conjugale n'est pas devenu sans objet à la suite du dépôt de la demande de divorce, mais est demeuré valable en ce sens que la Présidente était toujours invitée à statuer sur mesures provisionnelles. La Présidente se méprend donc lorsqu'elle affirme qu'elle ne pouvait pas statuer, faute pour l'épouse d'avoir pris des conclusions, sur mesures provisionnelles, tendant à la fixation de la contribution d'entretien de l'enfant mineure. De surcroît, en sus de l'arrêt de renvoi du 11 mai 2011 invitant la Présidente à statuer sur la contribution d'entretien de l'enfant et sur le compte bancaire, il ressort du dossier de la cause que l'épouse a déposé quatre requêtes de mesures superprovisionnelles et provisionnelles les 14 mai 2013, 16 août 2013, 18 novembre 2013 et 19 décembre 2013 sur la question du compte bancaire, mais qu'aucune décision n'a été rendue sur cet aspect, ni à l'issue de l'audience du 8 juillet 2013, ni après celle du 18 novembre 2013.</w:t>
      </w:r>
    </w:p>
    <w:p>
      <w:r>
        <w:t>En tant que la Présidente se prévaut de la complexité de la procédure et des nombreuses requêtes urgentes des parties, son raisonnement ne saurait non plus être suivi. Entre l'arrêt de renvoi du 11 mai 2011 et le dépôt de l'action en divorce en avril 2013, presque deux ans se sont écoulés, au cours desquels la Présidente n'a pas entrepris une seule démarche d'instruction afin de statuer sur la contribution d'entretien de l'enfant ou sur le déblocage de l'avoir Banque C.________. De même, entre le mois de mai 2013 et le mois de juillet 2013, puis entre le 29 août et le 11 novembre 2013, à l'exception de la réception d'écritures des parties le 17 octobre 2013, la Présidente n'a effectué aucune opération dans le dossier. Aussi, les démarches "quasi-quotidiennes" que la Présidente a effectuées ne concernent qu'une période limitée, à savoir depuis l'audience de mesures provisionnelles du 18 novembre 2013 jusqu'au dépôt des deux recours pour déni de justice. Il apparaît donc que la Présidente a bénéficié de plusieurs semaines pour statuer, et qu'elle ne saurait justifier son absence de décision par son activité quasi-quotidienne aux périodes susdésignées.</w:t>
      </w:r>
    </w:p>
    <w:p>
      <w:r>
        <w:t>Dès lors qu'aucune décision provisionnelle n'a été rendue concernant le déblocage du compte Banque C.________ et la contribution d'entretien de la fille mineure, depuis l'annulation de l'ordonnance de mesures protectrices de l'union conjugale, à savoir désormais depuis plus de trois ans, et sans motif valable, le retard injustifié, voire le refus de statuer, doit être reconnu. En conclusion, le grief de déni de justice ( art. 29 al. 1 Cst. ) est admis.</w:t>
      </w:r>
    </w:p>
    <w:p>
      <w:r>
        <w:rPr>
          <w:b/>
        </w:rPr>
        <w:t>E. 4.3</w:t>
      </w:r>
    </w:p>
    <w:p>
      <w:r>
        <w:t>Quant à la question de la nécessité de fixer un délai pour statuer, l'appréciation de la cour selon laquelle la Présidente a toujours rendu une décision quand elle le pouvait n'est pas corroborée par l'état de fait. L'unique décision de mesures provisionnelles qu'elle a rendue consiste en la ratification d'une transaction partielle des parties lors de l'audience de mesures provisionnelles du 18 novembre 2013. Si la Présidente a certes rendu des ordonnances de mesures superprovisionnelles, elle n'a pas rendu de décision de nature provisionnelle à la suite de l'audience du 18 novembre 2013, concernant les aspects pour lesquels aucune convention n'a pu être trouvée entre les parties. Par ailleurs, interpellée le 10 juin 2014 sur le point de savoir si une décision avait été rendue à la suite de l'audience du 17 mars 2014, la recourante a répondu par la négative, ce qui a au demeurant été confirmé spontanément par la Présidente. Dans ces circonstances, un délai doit être fixé à la Présidente pour statuer.</w:t>
      </w:r>
    </w:p>
    <w:p>
      <w:r>
        <w:rPr>
          <w:b/>
        </w:rPr>
        <w:t>E. 5</w:t>
      </w:r>
    </w:p>
    <w:p>
      <w:r>
        <w:t>Vu ce qui précède, le recours en matière civile doit être admis - dans la mesure de sa recevabilité - et la décision entreprise annulée et réformée en ce sens qu'un délai au 15 septembre 2014 est imparti à la Présidente du Tribunal civil de l'arrondissement de La Côte pour reprendre l'instruction de la cause et statuer, par ordonnance de mesures provisionnelles, sur la contribution d'entretien de l'enfant et sur le déblocage de l'avoir Banque C.________. Le canton de Vaud n'a pas à supporter de frais pour la procédure devant le Tribunal de céans ( art. 66 al. 4 LTF ), mais doit verser à la recourante une indemnité de dépens ( art. 68 al. 1 et 2 LTF ). La cause est renvoyée à l'autorité précédente pour décision sur l'indemnité de dépens en faveur de la recourante pour la procédure cantonale ( art. 106 al. 1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