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5A_205/2026 vom 9. März 2026</w:t>
      </w:r>
    </w:p>
    <w:p>
      <w:r>
        <w:t>Bundesgericht, 2026-03-09, DE</w:t>
      </w:r>
    </w:p>
    <w:p>
      <w:r>
        <w:rPr>
          <w:b/>
        </w:rPr>
        <w:t xml:space="preserve">Quelle: </w:t>
      </w:r>
      <w:r>
        <w:t>https://mcp.opencaselaw.ch/entscheid/bger_5A_205_2026</w:t>
      </w:r>
    </w:p>
    <w:p>
      <w:r>
        <w:t>FR: TF 5A_205/2026 du 9 mars 2026</w:t>
      </w:r>
    </w:p>
    <w:p>
      <w:r>
        <w:t>IT: TF 5A_205/2026 del 9 marzo 2026</w:t>
      </w:r>
    </w:p>
    <w:p>
      <w:pPr>
        <w:pStyle w:val="Heading2"/>
      </w:pPr>
      <w:r>
        <w:t>Erwägungen</w:t>
      </w:r>
    </w:p>
    <w:p>
      <w:r>
        <w:rPr>
          <w:b/>
        </w:rPr>
        <w:t>E. 1</w:t>
      </w:r>
    </w:p>
    <w:p>
      <w:r>
        <w:t>Angefochten ist ein kantonal letztinstanzlicher Nichteintretensentscheid gegen die (Wieder-) Übernahme von kindesschutzrechtlichen Massnahmen durch das Friedensgericht des Sensebezirks (Art. 72 Abs. 2 lit. b Ziff. 6 und Art. 75 Abs. 1 BGG ).</w:t>
      </w:r>
    </w:p>
    <w:p>
      <w:r>
        <w:t>Weil die Vorinstanz auf das Rechtsmittel der Beschwerdeführerin nicht eingetreten ist, kann Anfechtungsgegenstand im bundesgerichtlichen Verfahren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ruft in abstrakter Weise verschiedene verfassungsmässige Rechte an ( Art. 9 BV und Art. 29 Abs. 2 BV ; Art. 8 und 13 EMRK ) und macht in allgemeiner Weise geltend, es werde auf überholte Einschätzungen abgestellt und es gebe keine konkrete Gefährdung des Kindeswohls. Darin liegt keine hinreichende Auseinandersetzung mit den Erwägungen des angefochtenen Entscheides und es wird nicht aufgezeigt, inwiefern das Nichteintreten auf die kantonale Beschwerde Recht verletzen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