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204/2018 vom 15. Juni 2018</w:t>
      </w:r>
    </w:p>
    <w:p>
      <w:r>
        <w:t>Bundesgericht, 2018-06-15, FR</w:t>
      </w:r>
    </w:p>
    <w:p>
      <w:r>
        <w:rPr>
          <w:b/>
        </w:rPr>
        <w:t xml:space="preserve">Quelle: </w:t>
      </w:r>
      <w:r>
        <w:t>https://mcp.opencaselaw.ch/entscheid/bger_5A_204_2018</w:t>
      </w:r>
    </w:p>
    <w:p>
      <w:r>
        <w:t>FR: TF 5A 204/2018 du 15 juin 2018</w:t>
      </w:r>
    </w:p>
    <w:p>
      <w:r>
        <w:t>IT: TF 5A 204/2018 del 15 giugno 2018</w:t>
      </w:r>
    </w:p>
    <w:p>
      <w:pPr>
        <w:pStyle w:val="Heading2"/>
      </w:pPr>
      <w:r>
        <w:t>Regeste</w:t>
      </w:r>
    </w:p>
    <w:p>
      <w:r>
        <w:t>mesures protectrices de l'union conjugale (contribution d'entretien en faveur du conjoint)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dépasse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3.1</w:t>
      </w:r>
    </w:p>
    <w:p>
      <w:r>
        <w:t>Le recourant reproche à la juridiction précédente d'avoir arbitrairement établi les faits. Il indique que si, comme l'a retenu l'autorité cantonale, l'intimée a conclu au paiement d'une contribution d'entretien en sa faveur de 4'750 fr. par mois dans son mémoire d'appel, elle a, dans sa duplique du 15 septembre 2017, réduit sa prétention à 4'460 fr. par mois, expliquant cette modification par la baisse du taux hypothécaire de l'emprunt grevant le domicile conjugal. En constatant dans la décision querellée que l'intimée a persisté dans ses conclusions dans sa duplique, la cour cantonale aurait ainsi omis, de manière insoutenable, de tenir compte de la réduction des conclusions de l'intimée. Cette constatation serait également arbitraire dans son résultat, dès lors qu'elle a pour conséquence d'augmenter de 290 fr. le montant de la pension due à l'épouse.</w:t>
      </w:r>
    </w:p>
    <w:p>
      <w:r>
        <w:rPr>
          <w:b/>
        </w:rPr>
        <w:t>E. 3.2</w:t>
      </w:r>
    </w:p>
    <w:p>
      <w:r>
        <w:t>A la lecture de la duplique de l'intimée, il apparaît que celle-ci a effectivement réduit à 4'460 fr. le montant réclamé à titre de contribution pour son propre entretien, étant par ailleurs précisé qu'une réduction des conclusions ne constitue pas une conclusion nouvelle au sens de l' art. 317 al. 2 CPC et est donc admissible jusqu'aux délibérations (arrêt 5A_456/2016 du 28 octobre 2016 consid. 4.2.1). La juridiction précédente a dès lors versé dans l'arbitraire en retenant que l'intimée avait, dans sa duplique, persisté dans ses conclusions, cette constatation ayant une influence sur le sort de la cause (cf. infra consid. 4.2). Partant, la critique du recourant est fondée. L'état de fait de l'arrêt querellé est corrigé en ce sens qu'il est constaté qu'en deuxième instance, l'intimée a conclu au versement de 4'460 fr. par mois à titre de contribution pour son propre entretien.</w:t>
      </w:r>
    </w:p>
    <w:p>
      <w:r>
        <w:rPr>
          <w:b/>
        </w:rPr>
        <w:t>E. 4</w:t>
      </w:r>
    </w:p>
    <w:p>
      <w:r>
        <w:t>Invoquant une application arbitraire des art. 58 CPC et 176 CC, le recourant soutient que la cour cantonale a statué ultra petita en arrêtant la pension en faveur de l'épouse à 7'600 fr. par mois. L'intimée n'ayant pas formulé de conclusions subsidiaires pour le cas où les pensions en faveur des enfants étaient réduites en deuxième instance, la juridiction précédente ne pouvait allouer à l'épouse un montant supérieur aux 4'460 fr. que celle-ci réclamait en appel sans violer la maxime de disposition.</w:t>
      </w:r>
    </w:p>
    <w:p>
      <w:r>
        <w:rPr>
          <w:b/>
        </w:rPr>
        <w:t>E. 4.1</w:t>
      </w:r>
    </w:p>
    <w:p>
      <w:r>
        <w:t>Aux termes de l' art. 58 al. 1 CPC , le tribunal ne peut accorder à une partie ni plus ni autre chose que ce qui est demandé, ni moins que ce qui est reconnu par la partie adverse ( ne eat iudex ultra petita partium ). La contribution d'entretien due par un conjoint à l'autre dans le cadre de mesures protectrices doit être arrêtée conformément aux art. 163 et 176 al. 1 ch. 1 CC et est soumise au principe de disposition ( art. 58 al. 1 CPC ), aucune disposition légale ne prévoyant que le juge n'est pas lié par les conclusions ( art. 58 al. 2 CPC ). La contribution due à l'entretien d'un enfant durant cette même période est, quant à elle, prévue par l' art. 176 al. 3 CC , lequel renvoie aux art. 276 ss CC , et est soumise à la maxime d'office ( art. 296 al. 3 CPC ), ce qui a pour conséquence que le juge n'est pas lié par les conclusions des parents. La contribution à l'entretien de la famille doit par ailleurs être arrêtée de manière différenciée pour le conjoint, d'une part, et chaque enfant, d'autre part ( art. 176 al. 1 ch. 1 CC ). Le juge ne peut dès lors accorder d'office à un conjoint un entretien supérieur à celui qui a été requis; il est lié par les conclusions de cette partie (arrêts 5A_970/2017 du 7 juin 2018 consid. 3.1; 5A_757/2013 du 14 juillet 2014 consid. 2.1; 5A_704/2013 du 15 mai 2014 consid. 3.4 non publié in ATF 140 III 231 ; 5A_906/2012 du 18 avril 2013 consid. 6.1.1). Il ne peut en particulier pas augmenter la contribution d'entretien en faveur de l'époux pour tenir compte du fait que la contribution allouée à l'enfant est plus faible que celle qui avait été requise pour lui (arrêts 5A_704/2013 précité consid. 3.4 non publié in ATF 140 III 231 ; 5A_906/2012 précité consid. 6.2.2). L' art. 282 al. 2 CPC - qui prévoit que lorsque le recours porte sur la contribution d'entretien allouée au conjoint, la juridiction de recours peut également réexaminer les pensions en faveur des enfants, même si elles ne font pas l'objet du recours - est une exception en faveur des enfants uniquement et ne vaut pas dans le sens inverse (arrêts 5A_704/2013 précité consid. 3.4 non publié in ATF 140 III 231 ; 5A_906/2012 précité consid. 6.2.2 et les références). Pour éviter de se faire opposer les conséquences du principe de disposition et de l'interdiction des conclusions nouvelles, le parent qui réclame des montants tant pour lui-même que pour un enfant doit dès lors prendre des conclusions subsidiaires pour chaque crédirentier d'entretien au cas où les conclusions principales ne sont pas admises ( ATF 140 III 231 consid. 3.5; arrêt 5A_97/2017 du 23 août 2017 consid. 3.3.1).</w:t>
      </w:r>
    </w:p>
    <w:p>
      <w:r>
        <w:rPr>
          <w:b/>
        </w:rPr>
        <w:t>E. 4.2</w:t>
      </w:r>
    </w:p>
    <w:p>
      <w:r>
        <w:t>En l'occurrence, l'autorité cantonale a retenu, contrairement au premier juge, que les pensions en faveur des enfants ne devaient pas inclure de contribution de prise en charge et les a ainsi réduites à 660 fr. par mois pour C.________ et 560 fr. par mois pour D.________. Elle a ensuite fixé la contribution d'entretien en faveur de l'épouse au montant arrondi de 7'600 fr. par mois (5'374 fr. [déficit mensuel de l'épouse] + 2'300 fr. [part de l'épouse à l'excédent]). Dès lors qu'en appel, l'intimée a conclu à ce que la contribution d'entretien en sa faveur soit fixée à 4'460 fr. (cf. supra consid. 3.2), l'autorité cantonale était toutefois liée par le montant réclamé et ne pouvait, sans faire preuve d'arbitraire, mettre à la charge du débirentier un montant supérieur à celui-ci. Partant, le grief du recourant est fondé. Au vu de ce qui précède, il convient de réformer l'arrêt cantonal ( art. 107 al. 2 LTF ) et de limiter la contribution d'entretien en faveur de l'épouse au montant qu'elle a fait valoir en appel, à savoir 4'460 fr. par mois.</w:t>
      </w:r>
    </w:p>
    <w:p>
      <w:r>
        <w:rPr>
          <w:b/>
        </w:rPr>
        <w:t>E. 5</w:t>
      </w:r>
    </w:p>
    <w:p>
      <w:r>
        <w:t>En conclusion, le recours est admis et l'arrêt attaqué est réformé en ce sens que la contribution d'entretien en faveur de l'intimée est arrêtée à 4'460 fr. par mois. Les frais judiciaires sont mis à la charge de l'intimée, qui succombe ( art. 66 al. 1 LTF ) et qui versera en outre une indemnité de dépens au recourant ( art. 68 al. 1 et 2 LTF ). Il appartiendra à la juridiction précédente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