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5A_202/2023 vom 20. Dezember 2023</w:t>
      </w:r>
    </w:p>
    <w:p>
      <w:r>
        <w:t>Bundesgericht, 2023-12-20, FR</w:t>
      </w:r>
    </w:p>
    <w:p>
      <w:r>
        <w:rPr>
          <w:b/>
        </w:rPr>
        <w:t xml:space="preserve">Quelle: </w:t>
      </w:r>
      <w:r>
        <w:t>https://mcp.opencaselaw.ch/entscheid/bger_5A_202_2023</w:t>
      </w:r>
    </w:p>
    <w:p>
      <w:r>
        <w:t>FR: TF 5A_202/2023 du 20 décembre 2023</w:t>
      </w:r>
    </w:p>
    <w:p>
      <w:r>
        <w:t>IT: TF 5A_202/2023 del 20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13 mars 2023, A.A.________ a formé un recours en matière civile au Tribunal fédéral contre l'arrêt du 1</w:t>
      </w:r>
    </w:p>
    <w:p>
      <w:r>
        <w:t>er février 2023 de la Cour d'appel civil du Tribunal cantonal du canton de Vaud réformant partiellement l'ordonnance de mesures provisionnelles rendue le 9 novembre 2022 par la Présidente du Tribunal civil de l'arrondissement de La Côte dans le cadre de la procédure de divorce l'opposant à B.A.________.</w:t>
      </w:r>
    </w:p>
    <w:p>
      <w:r>
        <w:rPr>
          <w:b/>
        </w:rPr>
        <w:t>E. 2</w:t>
      </w:r>
    </w:p>
    <w:p>
      <w:r>
        <w:t>Par courrier du 9 novembre 2023, la recourante a déclaré retirer son recours ensuite de la signature d'une convention sur les effets du divorce ainsi que sur le sort des enfants déposée par les parties par-devant le Tribunal d'arrondissement de La Côte et confirmée lors de l'audience tenue en date du 13 octobre 2023. Elle a sollicité que les frais judiciaires soient à tout le moins remis.</w:t>
      </w:r>
    </w:p>
    <w:p>
      <w:r>
        <w:rPr>
          <w:b/>
        </w:rPr>
        <w:t>E. 3</w:t>
      </w:r>
    </w:p>
    <w:p>
      <w:r>
        <w:t>Invité à se déterminer sur la répartition des frais et dépens de la procédure, l'intimé a conclu à ce que les frais judiciaires soient mis à la charge de la recourante et les dépens compensés.</w:t>
      </w:r>
    </w:p>
    <w:p>
      <w:r>
        <w:rPr>
          <w:b/>
        </w:rPr>
        <w:t>E. 4</w:t>
      </w:r>
    </w:p>
    <w:p>
      <w:r>
        <w:t>Il convient de prendre acte du retrait du recours et de rayer la cause 5A_202/2023 du rôle ( art. 73 PCF par renvoi de l' art. 71 LTF ). A cet effet, le juge instructeur statue comme juge unique, en vertu de l' art. 32 al. 1 et 2 LTF .</w:t>
      </w:r>
    </w:p>
    <w:p>
      <w:r>
        <w:rPr>
          <w:b/>
        </w:rPr>
        <w:t>E. 5</w:t>
      </w:r>
    </w:p>
    <w:p>
      <w:r>
        <w:t>En règle générale, il appartient à la partie qui retire son recours de supporter les frais de procédure (ordonnances 5A_251/2022 du 5 juillet 2023 consid. 6; 5A_1062/2021 du 22 mai 2023 consid. 8 et les références). Les frais judiciaires incombent ainsi à la recourante ( art. 66 al. 1 LTF ). Ceux-ci peuvent être réduits, voire remis, lorsque le recours est réglé par un désistement sans avoir causé un travail considérable au tribunal ( art. 66 al. 2 LTF ). Il doit cependant être tenu compte de l'activité déployée par la Cour de céans ( art. 65 LTF ).</w:t>
      </w:r>
    </w:p>
    <w:p>
      <w:r>
        <w:rPr>
          <w:b/>
        </w:rPr>
        <w:t>E. 6</w:t>
      </w:r>
    </w:p>
    <w:p>
      <w:r>
        <w:t>En l'espèce, le retrait est intervenu alors qu'il avait déjà été statué sur la requête d'effet suspensif et que l'affaire était attribuée pour rapport. Il sied donc de mettre à la charge de la recourante des frais judiciaires réduits à hauteur de 1'000 fr. ( art. 66 al. 1 LTF ). Les dépens sont compensés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