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5A_200/2021 vom 27. April 2021</w:t>
      </w:r>
    </w:p>
    <w:p>
      <w:r>
        <w:t>Bundesgericht, 2021-04-27, FR</w:t>
      </w:r>
    </w:p>
    <w:p>
      <w:r>
        <w:rPr>
          <w:b/>
        </w:rPr>
        <w:t xml:space="preserve">Quelle: </w:t>
      </w:r>
      <w:r>
        <w:t>https://mcp.opencaselaw.ch/entscheid/bger_5A_200_2021</w:t>
      </w:r>
    </w:p>
    <w:p>
      <w:r>
        <w:t>FR: TF 5A_200/2021 du 27 avril 2021</w:t>
      </w:r>
    </w:p>
    <w:p>
      <w:r>
        <w:t>IT: TF 5A_200/2021 del 27 aprile 2021</w:t>
      </w:r>
    </w:p>
    <w:p>
      <w:pPr>
        <w:pStyle w:val="Heading2"/>
      </w:pPr>
      <w:r>
        <w:t>Erwägungen</w:t>
      </w:r>
    </w:p>
    <w:p>
      <w:r>
        <w:rPr>
          <w:b/>
        </w:rPr>
        <w:t>E. 1.1</w:t>
      </w:r>
    </w:p>
    <w:p>
      <w:r>
        <w:t>L'indemnisation du curateur s'inscrivant dans le contexte d'une procédure de protection de l'enfant, le recours en matière civile est en principe ouvert (art. 72 al. 2 let. b ch. 6 LTF). S'agissant toutefois d'une contestation pécuniaire (cf. arrêt 5D_230/2020 du 15 février 2021 consid. 1.1 et les références), le recours en matière civile n'est recevable que si la valeur litigieuse atteint 30'000 fr. ( art. 74 al. 1 let. b LTF ). La valeur litigieuse n'étant pas atteinte en l'espèce, seul le recours constitutionnel subsidiaire est recevable ( art. 113 ss LTF ), aucune des exceptions prévues à l' art. 74 al. 2 LTF n'étant de surcroît réalisée.</w:t>
      </w:r>
    </w:p>
    <w:p>
      <w:r>
        <w:rPr>
          <w:b/>
        </w:rPr>
        <w:t>E. 1.2</w:t>
      </w:r>
    </w:p>
    <w:p>
      <w:r>
        <w:t>Pour le surplus, le recours a été interjeté en temps utile ( art. 100 al. 1 et 117 LTF ) contre une décision finale ( art. 90 et 117 LTF ) rendue en dernière instance cantonale par un tribunal supérieur ( art. 75 al. 1 et 114 LTF ). Les recourants ont pris part à la procédure devant la juridiction précédente et, en tant que la rémunération de la curatrice de représentation a été mise à leur charge en leur qualité de débiteurs de l'entretien de leur fils, ils disposent d'un intérêt juridiquement protégé à la modification de la décision attaquée ( art. 115 LTF ).</w:t>
      </w:r>
    </w:p>
    <w:p>
      <w:r>
        <w:rPr>
          <w:b/>
        </w:rPr>
        <w:t>E. 2.1</w:t>
      </w:r>
    </w:p>
    <w:p>
      <w:r>
        <w:t>Le recours constitutionnel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144 II 313 consid. 5.1; 142 II 369 consid. 2.1; 142 III 364 consid. 2.4). Le recourant doit ainsi indiquer quelle disposition constitutionnelle aurait été violée et démontrer, par une argumentation précise, en quoi consiste cette violation ( ATF 134 II 349 consid. 3). En tant que le recours constitutionnel subsidiaire ne peut être formé que pour violation des droits constitutionnels, le Tribunal fédéral ne corrige ainsi l'application des dispositions législatives ou réglementaires fédérales ou cantonales que si celle-ci est arbitraire au sens de l' art. 9 Cst. (cf. notamment: ATF 139 I 169 consid. 6.1).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140 III 16 consid. 2.1). Le Tribunal fédéral ne recherche pas quelle est l'interprétation correcte que l'autorité cantonale aurait dû donner de la disposition légale, mais il se borne à dire si l'interprétation qui a été faite est défendable ( ATF 132 I 13 consid. 5.1; 131 I 217 consid. 2.1). Pour être qualifiée d'arbitraire, la décision doit également être insoutenable dans son résultat ( ATF 141 III 564 consid. 4.1; 140 III 16 consid. 2.1 précité).</w:t>
      </w:r>
    </w:p>
    <w:p>
      <w:r>
        <w:rPr>
          <w:b/>
        </w:rPr>
        <w:t>E. 2.2</w:t>
      </w:r>
    </w:p>
    <w:p>
      <w:r>
        <w:t>Saisi d'un recours constitutionnel subsidiaire, le Tribunal fédéral statue sur la base des faits établis par l'autorité précédente ( art. 118 al. 1 LTF ). Il ne peut rectifier ou compléter les constatations de l'autorité précédente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140 III 115 consid. 2; 135 III 397 consid. 1.5). La critique de l'état de fait retenu est soumise au principe strict de l'allégation énoncé par l' art. 106 al. 2 LTF ( ATF 140 III 264 consid. 2.3 et les références). 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143 IV 500 consid. 1.1; 140 III 264 consid. 2.3 précité); les critiques appellatoires sont irrecevables ( ATF 145 IV 154 consid. 1.1; 141 IV 249 consid. 1.3.1).</w:t>
      </w:r>
    </w:p>
    <w:p>
      <w:r>
        <w:t>En l'espèce, dans un chapitre intitulé " L'établissement inexact de faits ", les recourants se livrent à une vaste rediscussion des faits de la cause. Ce faisant, ils ne soulèvent aucun grief d'arbitraire ( art. 9 Cst. ) et se contentent, dans une démarche purement appellatoire, d'opposer leur propre version des faits et leur propre appréciation des preuves à celle de la cour cantonale. Ces développements, qui ne répondent pas aux exigences de motivation accrues déduites de l' art. 106 al. 2 LTF , sont irrecevables.</w:t>
      </w:r>
    </w:p>
    <w:p>
      <w:r>
        <w:rPr>
          <w:b/>
        </w:rPr>
        <w:t>E. 3</w:t>
      </w:r>
    </w:p>
    <w:p>
      <w:r>
        <w:t>Les recourants estiment que les " procédés " des autorités vaudoises, " à la fois juge et partie ", " pourraient " être constitutifs d'une violation du principe d'impartialité et d'indépendance garanti par l' art. 6 par. 1 CEDH . L'insuccès systématique de leurs démarches en lien avec la situation de leur fils, dont la gravité n'avait pas véritablement été prise en compte, démontrerait la volonté des autorités vaudoises de ne pas mener une enquête complète et effective. Dites autorités s'étaient contentées de suivre " sans examen " les avis et recommandations des différents intervenants étatiques, y compris ceux de la curatrice de leur fils. L'arrêt entrepris ne faisait pas exception, dès lors que leur recours avait été rejeté de manière expéditive pour des motifs infondés et arbitraire.</w:t>
      </w:r>
    </w:p>
    <w:p>
      <w:r>
        <w:t>Une telle critique, qui ne se base que sur de pures conjectures et qui, en tout état, est exorbitante de l'objet du présent litige, ne respecte à l'évidence pas les réquisits du principe d'allégation ( art. 106 al. 2 LTF ), de sorte qu'elle est irrecevable.</w:t>
      </w:r>
    </w:p>
    <w:p>
      <w:r>
        <w:rPr>
          <w:b/>
        </w:rPr>
        <w:t>E. 4.1</w:t>
      </w:r>
    </w:p>
    <w:p>
      <w:r>
        <w:t>Les recourants invoquent une violation arbitraire de l' art. 404 CC . Selon eux, l'inaction dont la curatrice de leur fils avait fait preuve dans le cadre de son mandat, respectivement les quelques démarches entreprises de manière totalement inadaptée ou inefficace, étaient constitutives d'une négligence devant conduire au refus de toute indemnisation en sa faveur. Il était patent que la curatrice connaissait la situation précaire et dramatique de leur fils, laquelle n'avait cessé de se dégrader tout au long du mandat de curatelle. Ce nonobstant, elle n'avait entrepris auprès des autorités aucune mesure adaptée, soit commandée par la gravité du cas d'espèce et propre à atteindre le but fixé. Il s'agissait là d'un constat objectif et non subjectif, contrairement à ce que retenait l'arrêt attaqué de manière arbitraire. Rien de ce qui avait été entrepris n'avait eu pour effet de protéger l'enfant de lui-même, contre ses passions destructrices et suicidaires, et n'avait concrètement eu pour effet la protection de son bien et de ses intérêts. En se fondant exclusivement sur les déclarations et les promesses de leur fils, au lieu de veiller à la défense de ses intérêts, et en premier lieu de sa santé et de sa formation professionnelle, la curatrice avait refusé de mettre en oeuvre les mesures adéquates. L'enfant était demeuré désoeuvré, sans aucune activité professionnelle ni formation digne de ce nom, pendant toute la durée de son mandat.</w:t>
      </w:r>
    </w:p>
    <w:p>
      <w:r>
        <w:rPr>
          <w:b/>
        </w:rPr>
        <w:t>E. 4.2</w:t>
      </w:r>
    </w:p>
    <w:p>
      <w:r>
        <w:t>Les recourants perdent de vue que l' art. 404 CC n'est directement pertinent (par analogie) que pour autant que la représentation de l'enfant ait été ordonnée dans le cadre d'une curatelle selon les art. 306 al. 2 ou 308 al. 2 CC (AFFOLTER-FRINGELI/VOGEL, in Berner Kommentar, 2016, n° 58 ad art. 314a bis CC ; REUSSER, in Basler Kommentar, ZGB I, 6ème éd. 2018, n° 7 ad art. 404 CC ). En revanche, lorsque, comme en l'espèce, le curateur de représentation du mineur a été nommé sur la base de l' art. 314a bis CC , les coûts y relatifs relèvent du droit cantonal, subsidiairement du CPC (COTTIER, in Kurzkommentar, ZGB, 2ème éd. 2018, n° 15 ad art. 314a bis CC ; COTTIER, in CommFam, Protection de l'adulte, 2013, n° 16 ad art. 314a bis CC ; AFFOLTER-FRINGELI/VOGEL, op. cit., n° 54 ad art. 314a bis CC ; FOUNTOULAKIS/AFFOLTER-FRINGELI/BIDERBOST/STECK, Kindes- und Erwachsenenschutz-recht, 2016, N. 18.179 p. 772; LEUTHOLD/SCHWEIGHAUSER, Beistandschaft und Kindesvertretung, RMA 2016 p. 463 ss, 480).</w:t>
      </w:r>
    </w:p>
    <w:p>
      <w:r>
        <w:t>En droit vaudois, l'art. 48 al. 1 de la loi du 29 mai 2012 d'application du droit fédéral de la protection de l'adulte et de l'enfant (LVPAE; BLV 211.255) prévoit notamment que lors de l'approbation des comptes, l'État alloue au curateur une indemnité équitable, eu égard au travail accompli pour la période comptable écoulée (2ème phr.). Par ailleurs, selon l'alinéa 2 de cette disposition, le tribunal cantonal fixe, par voie réglementaire, le tarif de rémunération du curateur, ce qui a été fait par l'adoption du Règlement sur la rémunération des curateurs du 18 décembre 2012 (RCur; BLV 211.255.2). Or, force est de constater que les recourants ne soulèvent aucun grief d'arbitraire ( art. 9 Cst. ) dans l'application de la LVPAE ou du RCur. Pour le reste, ils ne font que réitérer en instance fédérale leur propre vision de la qualité du travail fourni par la curatrice. Un tel procédé, purement appellatoire, est inadmissible (cf. supra consid. 2.2). Il s'ensuit que la critique est irrecevable.</w:t>
      </w:r>
    </w:p>
    <w:p>
      <w:r>
        <w:rPr>
          <w:b/>
        </w:rPr>
        <w:t>E. 5</w:t>
      </w:r>
    </w:p>
    <w:p>
      <w:r>
        <w:t>Les recourants se plaignent enfin d'une violation arbitraire de l' art. 276 al. 2 CC en tant que la cour cantonale a appliqué un tarif horaire de 350 fr. C'était en effet, selon eux, de manière négligente que la curatrice n'avait pas requis que l'enfant soit mis au bénéfice de l'assistance judiciaire, ce qui aurait eu pour conséquence que le tarif horaire applicable aurait été de 180 fr. et non de 350 fr. Il était pourtant patent que leur fils ne disposait que de moyens financiers restreints, sa formation ayant été interrompue.</w:t>
      </w:r>
    </w:p>
    <w:p>
      <w:r>
        <w:t>Force est à nouveau de constater que les recourants reprennent mot pour mot le grief formulé en instance cantonale. Ce faisant, sauf à affirmer péremptoirement que celui-ci a été écarté " de manière expéditive " et que le raisonnement de la cour cantonale aboutirait à un résultat arbitraire et serait " contradictoire avec les principes développés au chiffre 4.1.2 de l'Arrêt entrepris ainsi que la jurisprudence citée ", ils ne discutent pas, de manière conforme aux exigences de motivation découlant du principe d'allégation (cf. supra consid. 2.1), les motifs de l'arrêt attaqué et ne démontrent ainsi nullement l'arbitraire. En particulier, ils ne se plaignent aucunement d'arbitraire dans l'application de l'art. 5 al. 4 RCur et ne disent mot de l'argument retenu par les juges cantonaux sur cette base pour valider le tarif horaire de 350 fr. appliqué par la juge de paix. En outre, ils ne critiquent plus la constatation selon laquelle la rémunération du curateur de l'enfant mineur est mise à la charge des parents débiteurs de l'obligation d'entretien. Dépourvu de toute motivation suffisante au regard de l' art. 106 al. 2 LTF , le moyen est, lui aussi, irrecevable.</w:t>
      </w:r>
    </w:p>
    <w:p>
      <w:r>
        <w:rPr>
          <w:b/>
        </w:rPr>
        <w:t>E. 6</w:t>
      </w:r>
    </w:p>
    <w:p>
      <w:r>
        <w:t>En définitive, le recours est irrecevable. Les recourants, qui succombent, supporteront solidairement les frais judiciaires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