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5A_200/2007 vom 19. Dezember 2007</w:t>
      </w:r>
    </w:p>
    <w:p>
      <w:r>
        <w:t>Bundesgericht, 2007-12-19, FR</w:t>
      </w:r>
    </w:p>
    <w:p>
      <w:r>
        <w:rPr>
          <w:b/>
        </w:rPr>
        <w:t xml:space="preserve">Quelle: </w:t>
      </w:r>
      <w:r>
        <w:t>https://mcp.opencaselaw.ch/entscheid/bger_5A_200_2007</w:t>
      </w:r>
    </w:p>
    <w:p>
      <w:r>
        <w:t>FR: TF 5A_200/2007 du 19 décembre 2007</w:t>
      </w:r>
    </w:p>
    <w:p>
      <w:r>
        <w:t>IT: TF 5A_200/2007 del 19 dicembre 2007</w:t>
      </w:r>
    </w:p>
    <w:p>
      <w:pPr>
        <w:pStyle w:val="Heading2"/>
      </w:pPr>
      <w:r>
        <w:t>Erwägungen</w:t>
      </w:r>
    </w:p>
    <w:p>
      <w:r>
        <w:rPr>
          <w:b/>
        </w:rPr>
        <w:t>E. 1</w:t>
      </w:r>
    </w:p>
    <w:p>
      <w:r>
        <w:t>Le Tribunal fédéral examine d'office et librement la recevabilité des recours qui lui sont soumis ( ATF 133 I 206 consid. 2 p. 210; 133 II 249 consid. 1.1 p. 251; 132 III 747 consid. 4 p. 748).</w:t>
      </w:r>
    </w:p>
    <w:p>
      <w:r>
        <w:rPr>
          <w:b/>
        </w:rPr>
        <w:t>E. 1.1</w:t>
      </w:r>
    </w:p>
    <w:p>
      <w:r>
        <w:t>Le recours, qui a pour objet une décision finale ( art. 90 LTF ) de dernière instance cantonale ( art. 75 al. 1 LTF ) rendue dans une cause civile ( art. 72 al. 1 LTF ) de nature pécuniaire dont la valeur litigieuse dépasse 30'000 fr. ( art. 74 al. 1 let. b LTF ), est recevable au regard de ces dispositions. Il a également été déposé en temps utile ( art. 100 al. 1 LTF ) et dans la forme ( art. 42 LTF ) prévue par la loi.</w:t>
      </w:r>
    </w:p>
    <w:p>
      <w:r>
        <w:rPr>
          <w:b/>
        </w:rPr>
        <w:t>E. 1.2</w:t>
      </w:r>
    </w:p>
    <w:p>
      <w:r>
        <w:t>Le recours en matière civile peut être exercé pour violation du droit, tel qu'il est délimité par les art. 95 et 96 LTF ; il peut donc être interjeté également pour violation des droits constitutionnels, qui font partie du droit fédéral au sens de l' art. 95 let. a LTF .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concernant la révision totale de l'organisation judiciaire fédérale du 28 février 2001, FF 2001 p. 4000 ss, spéc. p. 4133; ci-après: Message). Hormis l'exception prévue par l' art. 106 al. 2 LTF pour la violation de droits fondamentaux ou de dispositions de droit cantonal et intercantonal, le Tribunal fédéral applique le droit d'office ( art. 106 al. 1 LTF ); il n'est pas lié par l'argumentation des parties et il apprécie librement la portée juridique des faits, mais s'en tient, d'ordinaire, aux questions juridiques que la partie soulève conformément aux exigences légales relatives à la motivation du recours ( art. 42 al. 2 LTF ).</w:t>
      </w:r>
    </w:p>
    <w:p>
      <w:r>
        <w:rPr>
          <w:b/>
        </w:rPr>
        <w:t>E. 1.3</w:t>
      </w:r>
    </w:p>
    <w:p>
      <w:r>
        <w:t>Le Tribunal fédéral conduit son raisonnement juridique sur la base des faits établis par l'autorité précédente ( art. 105 al. 1 LTF ). Il ne peut s'en écarter que si les faits ont été constatés de façon manifestement inexacte ou en violation du droit au sens de l' art. 95 LTF ( art. 105 al. 2 LTF ) et pour autant que la correction du vice soit susceptible d'influer sur le sort de la cause ( art. 97 al. 1 LTF ). La notion de "manifestement inexacte" correspond à celle d'arbitraire au sens de l' art. 9 Cst. (Message, FF 2001 p. 4000 ss, spéc. p. 4135).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w:t>
      </w:r>
    </w:p>
    <w:p>
      <w:r>
        <w:t>Le recourant fait grief à la Cour de justice d'avoir manifestement erré, plus précisément d'avoir arbitrairement constaté les faits, en qualifiant son action de réelle alors qu'il s'agirait d'une action personnelle, en rapport avec un immeuble situé à l'étranger. Partant, les tribunaux suisses seraient compétents pour examiner les prétentions financières qu'il invoque contre l'intimée en relation avec le bien immobilier sis aux Seychelles.</w:t>
      </w:r>
    </w:p>
    <w:p>
      <w:r>
        <w:rPr>
          <w:b/>
        </w:rPr>
        <w:t>E. 2.1</w:t>
      </w:r>
    </w:p>
    <w:p>
      <w:r>
        <w:t>Pour savoir si l'on est en présence d'une action réelle ou personnelle, il faut se baser sur la nature juridique de la prétention litigieuse, nature qui résulte du contenu de la demande, des conclusions prises et des motifs qui les justifient ( ATF 103 Ia 462 consid. 2 principio p. 464; 92 I 36 consid. 1 p. 38). Selon la jurisprudence, les actions fondées sur un contrat - qu'il s'agisse d'actions en exécution, d'actions en dommages-intérêts pour inexécution ou d'actions en annulation - sont de nature personnelle, même si le contrat concerne un immeuble, telle la vente immobilière ( ATF 103 Ia 462 consid. 2a p. 464; 92 I 201 consid. 4 p. 202/203; 69 I 5 consid. 3 p. 7/8). Par opposition, est une action réelle celle qui découle de rapports de droit dont le contenu juridique ne s'épuise pas à la suite de la prestation d'un débiteur. L'action qui tend à la fois à la constatation du droit de gage et à la condamnation au paiement de la créance garantie constitue une action mixte, que la jurisprudence a assimilée à l'action réelle ( ATF 117 II 26 consid. 3 p. 29/30). En droit interne, cette action peut être portée soit devant le tribunal du lieu du registre dans lequel l'immeuble est immatriculé, soit devant celui du domicile du défendeur ( art. 19 al. 1 let . c LFors). Le droit international offre également cette possibilité ( art. 2 al. 1 et 6 ch. 4 CL ).</w:t>
      </w:r>
    </w:p>
    <w:p>
      <w:r>
        <w:rPr>
          <w:b/>
        </w:rPr>
        <w:t>E. 2.2</w:t>
      </w:r>
    </w:p>
    <w:p>
      <w:r>
        <w:t>En l'espèce, la créance invoquée par le recourant est garantie par une hypothèque grevant un immeuble aux Seychelles. Cette garantie constitue un droit de gage immobilier, à savoir un droit réel limité qui assujettit un immeuble à la garantie d'une créance (cf. Paul-Henri Steinauer, Les droits réels, tome III, 3e éd., n. 2618 p. 136). L'existence de l'hypothèque est liée à celle de la créance. Toutefois, dès lors que seule la créance est revendiquée, à l'exclusion du gage, l'action n'est ni réelle, ni mixte, mais seulement personnelle. L'autorité cantonale a par conséquent violé le droit fédéral en considérant que le juge suisse n'était pas compétent pour se prononcer sur l'existence d'un prêt du mari à l'épouse.</w:t>
      </w:r>
    </w:p>
    <w:p>
      <w:r>
        <w:rPr>
          <w:b/>
        </w:rPr>
        <w:t>E. 3</w:t>
      </w:r>
    </w:p>
    <w:p>
      <w:r>
        <w:t>En conclusion, le recours apparaît bien fondé et doit par conséquent être admis, sans qu'il soit besoin d'examiner les autres griefs soulevés par le recourant, dont la requête d'assistance judiciaire devient ainsi sans objet. Les frais de justice seront supportés par l'intimée, qui succombe ( art. 66 al. 1 LTF ). Il n'y a cependant pas lieu d'allouer de dépens au recourant, qui a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