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5A_1/2022 vom 2. Februar 2022</w:t>
      </w:r>
    </w:p>
    <w:p>
      <w:r>
        <w:t>Bundesgericht, 2022-02-02, DE</w:t>
      </w:r>
    </w:p>
    <w:p>
      <w:r>
        <w:rPr>
          <w:b/>
        </w:rPr>
        <w:t xml:space="preserve">Quelle: </w:t>
      </w:r>
      <w:r>
        <w:t>https://mcp.opencaselaw.ch/entscheid/bger_5A_1_2022</w:t>
      </w:r>
    </w:p>
    <w:p>
      <w:r>
        <w:t>FR: TF 5A_1/2022 du 2 février 2022</w:t>
      </w:r>
    </w:p>
    <w:p>
      <w:r>
        <w:t>IT: TF 5A_1/2022 del 2 febbraio 2022</w:t>
      </w:r>
    </w:p>
    <w:p>
      <w:pPr>
        <w:pStyle w:val="Heading2"/>
      </w:pPr>
      <w:r>
        <w:t>Erwägungen</w:t>
      </w:r>
    </w:p>
    <w:p>
      <w:r>
        <w:rPr>
          <w:b/>
        </w:rPr>
        <w:t>E. 1</w:t>
      </w:r>
    </w:p>
    <w:p>
      <w:r>
        <w:t>Mit Entscheid vom 1. Juli 2021 erteilte das Bezirksgericht Willisau der Beschwerdegegnerin gegenüber der Beschwerdeführerin in der Betreibung Nr. xxx des Betreibungsamtes U.________ die provisorische Rechtsöffnung für Fr. 287'082.30 nebst Zins.</w:t>
      </w:r>
    </w:p>
    <w:p>
      <w:r>
        <w:t>Dagegen erhob die Beschwerdeführerin am 21. Juli 2021 (Postaufgabe) Beschwerde beim Kantonsgericht Luzern. Mit Entscheid vom 16. November 2021 trat das Kantonsgericht auf die Beschwerde nicht ein.</w:t>
      </w:r>
    </w:p>
    <w:p>
      <w:r>
        <w:t>Dagegen hat die Beschwerdeführerin am 2. Januar 2022 (Postaufgabe) Beschwerde an das Bundesgericht erhoben. Das Bundesgericht hat die Akten beigezogen.</w:t>
      </w:r>
    </w:p>
    <w:p>
      <w:r>
        <w:rPr>
          <w:b/>
        </w:rPr>
        <w:t>E. 2</w:t>
      </w:r>
    </w:p>
    <w:p>
      <w:r>
        <w:t>Der angefochtene Entscheid ist ein Nichteintretensentscheid. Thema des bundesgerichtlichen Verfahrens ist demnach einzig, ob das Kantonsgericht zu Recht auf die kantonale Beschwerde nicht eingetreten ist. Diesbezüglich hat die Beschwerde an das Bundesgericht eine Begründung zu enthalten ( Art. 42 Abs. 2 BGG ), in der in gezielter Auseinandersetzung mit den für das Ergebnis des angefochtenen Entscheides massgeblichen Erwägungen aufzuzeigen ist, welche Rechte bzw. Rechtsnormen die Vorinstanz verletzt haben soll ( BGE 140 III 86 E. 2 S. 88 f.; 140 III 115 E. 2 S. 116). Eine solche Auseinandersetzung erfolgt nicht. Die Beschwerdeführerin geht nicht auf die Erwägungen ein, mit denen das Kantonsgericht seinen Nichteintretensentscheid begründet hat (unzulässige Noven; Wiederholung der vor der Bezirksgericht gemachten Ausführungen und damit mangelhafte Beschwerdebegründung). Vielmehr ist die Beschwerde an das Bundesgericht zum grössten Teil eine wörtliche Wiederholung der kantonalen Beschwerde. Dies genügt den Begründungsanforderungen von vornherein nicht. Keine Auseinandersetzung mit den kantonsgerichtlichen Erwägungen stellt der neu eingefügte Satz dar, wonach die Rechtsanwendung im vorliegenden Urteil unrichtig und auf die Beschwerde einzugehen sei.</w:t>
      </w:r>
    </w:p>
    <w:p>
      <w:r>
        <w:t>Die Beschwerde enthält offensichtlich keine hinreichende Begründung. Auf sie ist im vereinfachten Verfahren durch das präsidierende Mitglied der Abteilung nicht einzutreten ( Art. 108 Abs. 1 lit. b BGG ).</w:t>
      </w:r>
    </w:p>
    <w:p>
      <w:r>
        <w:rPr>
          <w:b/>
        </w:rPr>
        <w:t>E. 3</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