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5A_1/2019 vom 18. Juli 2019</w:t>
      </w:r>
    </w:p>
    <w:p>
      <w:r>
        <w:t>Bundesgericht, 2019-07-18, DE</w:t>
      </w:r>
    </w:p>
    <w:p>
      <w:r>
        <w:rPr>
          <w:b/>
        </w:rPr>
        <w:t xml:space="preserve">Quelle: </w:t>
      </w:r>
      <w:r>
        <w:t>https://mcp.opencaselaw.ch/entscheid/bger_5A_1_2019</w:t>
      </w:r>
    </w:p>
    <w:p>
      <w:r>
        <w:t>FR: TF 5A_1/2019 du 18 juillet 2019</w:t>
      </w:r>
    </w:p>
    <w:p>
      <w:r>
        <w:t>IT: TF 5A_1/2019 del 18 luglio 2019</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 Auch wenn das Bundesgericht grundsätzlich von Amtes wegen prüft, ob auf eine Beschwerde einzutreten ist, obliegt es der beschwerdeführenden Partei darzulegen, dass die Legitimationsvoraussetzungen erfüllt sind, sofern dies nicht ohne Weiteres ersichtlich ist ( BGE 138 III 537 E. 1.2</w:t>
      </w:r>
    </w:p>
    <w:p>
      <w:r>
        <w:t>in fine S. 539; Urteil 5A_930/2017 vom 17. Oktober 2018 E. 1.2, nicht publ. in: BGE 145 III 30 ; je mit Hinweisen).</w:t>
      </w:r>
    </w:p>
    <w:p>
      <w:r>
        <w:rPr>
          <w:b/>
        </w:rPr>
        <w:t>E. 1.2</w:t>
      </w:r>
    </w:p>
    <w:p>
      <w:r>
        <w:t>Der Beschwerdeführer macht in seiner Beschwerdeschrift darauf aufmerksam, dass der liechtensteinische Prozess, für dessen Weiterführung die streitige Spezialerbenvertretung angeordnet worden war (vgl. Sachverhalt lit. B.a und B.b), seit dem 11. Dezember 2018 rechtskräftig abgeschlossen ist.</w:t>
      </w:r>
    </w:p>
    <w:p>
      <w:r>
        <w:rPr>
          <w:b/>
        </w:rPr>
        <w:t>E. 1.3</w:t>
      </w:r>
    </w:p>
    <w:p>
      <w:r>
        <w:t>Die Beschwerdeschrift ist auf den 27. Dezember 2018 datiert, mithin auf einen Zeitpunkt nach der rechtskräftigen Erledigung des liechtensteinischen Verfahrens. Der vom Beschwerdeführer gegen die Anordnung der Spezialerbenvertretung angestrengten Berufung, welche im angefochtenen Entscheid vom 21. November 2018 mündete, kam die aufschiebende Wirkung zu ( Art. 315 ZPO ). Die Anordnung konnte bis zur Fällung des Berufungsurteils demnach keine Wirkung entfalten. Auch der Beschwerde an das Bundesgericht wurde die aufschiebende Wirkung gewährt ( Art. 103 Abs. 3 BGG ); dies allerdings erst am 21. Januar 2019 (vgl. Sachverhalt lit. D.b), sodass das Berufungsurteil bis zu diesem Zeitpunkt vollstreckbar war ( Art. 103 Abs. 1 BGG ). Der Beschwerdeführer macht nicht geltend, dass die Spezialerbenvertretung zwischen dem 21. November 2018 (Berufungsurteil) und dem 11. Dezember 2018 (letztinstanzliches liechtensteinisches Urteil) bereits tätig geworden wäre und dadurch Kosten generiert hätte. Er unterlässt es mithin aufzuzeigen, inwiefern er im Zeitpunkt der Einreichung seiner Beschwerde noch ein aktuelles praktisches Interesse an deren Beurteilung gehabt haben soll. Ein virtuelles Interesse macht er nicht geltend.</w:t>
      </w:r>
    </w:p>
    <w:p>
      <w:r>
        <w:rPr>
          <w:b/>
        </w:rPr>
        <w:t>E. 2</w:t>
      </w:r>
    </w:p>
    <w:p>
      <w:r>
        <w:t>Demnach ist infolge mangelnden schutzwürdigen Interesses auf die Beschwerde nicht einzutreten. Bei diesem Verfahrensausgang wird der Beschwerdeführer kosten-, nicht aber entschädigungspflichtig, zumal den Beschwerdegegnern kein entschädigungspflichtiger Aufwand entstanden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