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5A_199/2025 vom 13. März 2025</w:t>
      </w:r>
    </w:p>
    <w:p>
      <w:r>
        <w:t>Bundesgericht, 2025-03-13, DE</w:t>
      </w:r>
    </w:p>
    <w:p>
      <w:r>
        <w:rPr>
          <w:b/>
        </w:rPr>
        <w:t xml:space="preserve">Quelle: </w:t>
      </w:r>
      <w:r>
        <w:t>https://mcp.opencaselaw.ch/entscheid/bger_5A_199_2025</w:t>
      </w:r>
    </w:p>
    <w:p>
      <w:r>
        <w:t>FR: TF 5A_199/2025 du 13 mars 2025</w:t>
      </w:r>
    </w:p>
    <w:p>
      <w:r>
        <w:t>IT: TF 5A_199/2025 del 13 marzo 2025</w:t>
      </w:r>
    </w:p>
    <w:p>
      <w:pPr>
        <w:pStyle w:val="Heading2"/>
      </w:pPr>
      <w:r>
        <w:t>Erwägungen</w:t>
      </w:r>
    </w:p>
    <w:p>
      <w:r>
        <w:rPr>
          <w:b/>
        </w:rPr>
        <w:t>E. 1</w:t>
      </w:r>
    </w:p>
    <w:p>
      <w:r>
        <w:t>Beschwerdegegenstand bildet ein kantonal letztinstanzlicher Entscheid betreffend eine erstinstanzliche prozessleitende Verfügung in einem Eheschutzverfahren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w:t>
      </w:r>
    </w:p>
    <w:p>
      <w:r>
        <w:t>Sodann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scheitert bereits an den fehlenden Ausführungen zu den besonderen Anfechtungsvoraussetzungen gemäss Art. 93 Abs. 1 BGG . Sodann mangelt es auch vollständig an einer Auseinandersetzung mit der Begründung im angefochtenen Entscheid, wieso das Kantonsgericht auf die Beschwerde nicht eingetreten ist (fehlender nicht leicht wieder gutzumachender Nachteil betreffend Fristverlängerung; fehlende funktionale Zuständigkeit betreffend Ausstand des erstinstanzlichen Richters und superprovisorische Reduktion des Unterhalts). Der Beschwerdeführer macht vielmehr sinngemäss geltend, er werde mit falsch berechnetem Unterhalt zerstört und die kantonalen Gerichte würden Diebstahl und Prostitution fördern. Dies wie auch das Anliegen um "Neuaufnahme des Eheschutzverfahrens" steht jedoch ausserhalb des möglichen Anfechtungsgegenstandes.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