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5A_199/2012 vom 31. Mai 2012</w:t>
      </w:r>
    </w:p>
    <w:p>
      <w:r>
        <w:t>Bundesgericht, 2012-05-31, DE</w:t>
      </w:r>
    </w:p>
    <w:p>
      <w:r>
        <w:rPr>
          <w:b/>
        </w:rPr>
        <w:t xml:space="preserve">Quelle: </w:t>
      </w:r>
      <w:r>
        <w:t>https://mcp.opencaselaw.ch/entscheid/bger_5A_199_2012</w:t>
      </w:r>
    </w:p>
    <w:p>
      <w:r>
        <w:t>FR: TF 5A_199/2012 du 31 mai 2012</w:t>
      </w:r>
    </w:p>
    <w:p>
      <w:r>
        <w:t>IT: TF 5A_199/2012 del 31 maggio 2012</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Der Beschwerdeführer wehrt sich gegen die Festsetzung seiner Entschädigung als unentgeltlicher Rechtsbeistand für das erstinstanzliche Verfahren. Diese Streitsache unterbreitet er dem Bundesgericht zusammen mit der Hauptsache - dem Eheschutzstreit von Y.________ - in ein und derselben Beschwerdeschrift und schickt sich an, als selbständiger Beschwerdeführer zusammen mit Y.________ im gleichen Beschwerdeverfahren aufzutreten. Nach den in Art. 24 BZP enthaltenen Vorschriften, die im Beschwerdeverfahren vor Bundesgericht sinngemäss anwendbar sind ( Art. 71 BGG ), können mehrere Personen in der gleichen Beschwerde als Beschwerdeführer auftreten oder als Beschwerdegegner belangt werden, wenn sie mit Rücksicht auf den Streitgegenstand in Rechtsgemeinschaft stehen oder aus dem gleichen tatsächlichen und rechtlichen Grunde berechtigt oder verpflichtet sind (Art. 24 Abs. 2 lit. a Satz 1 BZP) oder wenn gleichartige, auf einem im Wesentlichen gleichartigen tatsächlichen und rechtlichen Grunde beruhende Ansprüche den Streitgegenstand bilden und die Zuständigkeit des Bundesgerichts für jeden einzelnen Anspruch begründet ist ( Art. 24 Abs. 2 lit. b BZP ). Keine dieser Voraussetzungen ist erfüllt: Weder steht der Beschwerdeführer bezüglich des Streitgegenstands mit Y.________ in einer Rechtsgemeinschaft, noch ist er aus einem gleichen tatsächlichen oder rechtlichen Grund wie dieser berechtigt oder verpflichtet. Auch sind die streitigen Ansprüche nicht in dem Sinne gleichartig, dass sie als ein Streitgegenstand verstanden werden könnten. Vielmehr führen der Beschwerdeführer und Y.________ eigentlich zwei eigenständige Beschwerden, in denen sie sich mit je verschiedenen Gegenparteien - der Beschwerdeführer mit dem Obergericht des Kantons Bern, Y.________ mit seiner Ehefrau - über zwei verschiedene Streitgegenstände auseinandersetzen. Aus diesem Grund hat das Bundesgericht die verbundenen Beschwerden in zwei separate Verfahren getrennt ( Art. 24 Abs. 3 BZP i.V.m. Art. 71 BGG ; vgl. Sachverhalt Bst. D).</w:t>
      </w:r>
    </w:p>
    <w:p>
      <w:r>
        <w:rPr>
          <w:b/>
        </w:rPr>
        <w:t>E. 1.3</w:t>
      </w:r>
    </w:p>
    <w:p>
      <w:r>
        <w:t>Der angefochtene Entscheid, der die amtliche Entschädigung des Beschwerdeführers festsetzt, ist ein Endentscheid ( Art. 90 BGG ) einer letzten kantonalen Instanz ( Art. 75 BGG ). Der Anwalt, der ein Mandat als unentgeltlicher Rechtsbeistand übernimmt, tritt zum Staat in ein Verhältnis, das vom kantonalen öffentlichen Recht bestimmt ist ( BGE 133 IV 335 E. 2 S. 337 f.). Soweit es die amtliche Entschädigung betrifft, ist das angefochtene Urteil also öffentlich-rechtlicher Natur. Wird der Anwalt aber - wie hier - in einem Zivilverfahren eingesetzt, ist die seine Entschädigung bestimmende Verfügung ein unmittelbar mit Zivilrecht zusammenhängender öffentlich-rechtlicher Entscheid im Sinne von Art. 72 Abs. 2 lit. b BGG (Urteil 5D_145/2007 vom 5. Februar 2008 E. 1.1).</w:t>
      </w:r>
    </w:p>
    <w:p>
      <w:r>
        <w:rPr>
          <w:b/>
        </w:rPr>
        <w:t>E. 2.1</w:t>
      </w:r>
    </w:p>
    <w:p>
      <w:r>
        <w:t>Die Festsetzung der Entschädigung des unentgeltlichen Rechtsbeistands im kantonalen Verfahren richtet sich ausschliesslich nach dem kantonalen Recht. Dessen Verletzung ist auch im ordentlichen Beschwerdeverfahren - abgesehen von hier nicht gegebenen Ausnahmen (Art. 95 lit. c-eBGG) - kein Beschwerdegrund vor Bundesgericht. Vielmehr kann diesbezüglich nur gerügt werden,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 Ist die Prüfungsbefugnis des Bundesgerichts aber ohnehin im beschriebenen Sinne eingeschränkt, kann offenbleiben, ob die vorliegende Eingabe mangels Erreichen des Streitwerterfordernisses nach den Vorschriften von Art. 113 ff. BGG als subsidiäre Verfassungsbeschwerde entgegenzunehmen wäre.</w:t>
      </w:r>
    </w:p>
    <w:p>
      <w:r>
        <w:rPr>
          <w:b/>
        </w:rPr>
        <w:t>E. 2.2</w:t>
      </w:r>
    </w:p>
    <w:p>
      <w:r>
        <w:t>In Fällen, in denen die kantonale Behörde den vom unentgeltlichen Rechtsbeistand in Rechnung gestellten Arbeitsaufwand kürzt, greift das Bundesgericht nur mit grosser Zurückhaltung ein. Es ist Sache der kantonalen Behörde, die Angemessenheit anwaltlicher Bemühungen zu beurteilen, wobei sie über ein beträchtliches Ermessen verfügt ( BGE 118 Ia 133 E. 2d S. 136). Für die Annahme einer Verletzung von Art. 9 BV genügt es nicht, wenn die kantonale Behörde, welche die Entschädigung festzusetzen hat, einen in Rechnung gestellten Posten nicht richtig würdigt oder sich auf ein unhaltbares Argument stützt. Der angefochtene Entscheid ist erst dann aufzuheben, wenn der dem amtlichen Anwalt zugesprochene gesamthafte Betrag auch im Ergebnis willkürlich erscheint ( BGE 109 Ia 107 E. 3d S. 112; Urteil 5P.298/2006 vom 16. Januar 2007 E. 5.1). Dies ist dann der Fall, wenn die Festsetzung des Honorars ausserhalb jedes vernünftigen Verhältnisses zu den vom Anwalt geleisteten Diensten steht und in krasser Weise gegen das Gerechtigkeitsgefühl verstösst ( BGE 122 I 1 E. 3a S. 2; 118 Ia 133 E. 2b S. 134 mit Hinweisen). Weil für die Geltendmachung von Grundrechtsverletzungen das strenge Rügeprinzip gilt ( Art. 106 Abs. 2 BGG ), kann sich der Beschwerdeführer nicht darauf beschränken, den vorinstanzlichen Entscheid als willkürlich zu bezeichnen. Will er sich auf das Willkürverbot ( Art. 9 BV ) berufen, muss er vielmehr anhand der angefochtenen Subsumtion im Einzelnen dartun, inwiefern das kantonale Gericht willkürlich entschieden haben soll und der Entscheid an einem qualifizierten und offensichtlichen Mangel leidet ( BGE 134 II 244 E. 2.2 S. 246; 117 Ia 10 E. 4b S. 11 f.).</w:t>
      </w:r>
    </w:p>
    <w:p>
      <w:r>
        <w:rPr>
          <w:b/>
        </w:rPr>
        <w:t>E. 3</w:t>
      </w:r>
    </w:p>
    <w:p>
      <w:r>
        <w:t>Streitig ist die Festsetzung des gebotenen Stundenaufwands. In seiner Kostennote vom 23. Januar 2011 führte der Beschwerdeführer einen Aufwand von 47.75 Stunden à Fr. 230.-- und 14.4 Stunden à Fr. 115.-- auf, woraus sich ein Honorar von Fr. 12'630.-- (exkl. 7.6 % Mehrwertsteuer) ergab (s. Bst. B.a). Das Obergericht erachtete diesen Aufwand als zu hoch, zumal das verlangte Honorar den Tarifrahmen gemäss Art. 5 Abs. 3 der bernischen Verordnung vom 17. Mai 2006 über die Bemessung des Parteikostenersatzes (Parteikostenverordnung, PKV; BSG 168.811) übersteige. Angesichts des leicht überdurchschnittlich aufwendigen Verfahrens sei ein Aufwand von rund 30 Stunden angemessen. Gestützt auf diese Erwägungen kürzte das Obergericht den Stundenaufwand auf 30 Stunden à Fr. 230.-- bzw. auf ein Honorar von Fr. 6'900.-- (exkl. 7.6 % Mehrwertsteuer), was innerhalb des Tarifrahmens liege. Der Beschwerdeführer rügt eine Verletzung des Willkürverbots ( Art. 9 BV ) und hält am ursprünglich geforderten Honorar fest. Er erachtet die Festsetzung seines Honorars aus zwei Gründen als unhaltbar.</w:t>
      </w:r>
    </w:p>
    <w:p>
      <w:r>
        <w:rPr>
          <w:b/>
        </w:rPr>
        <w:t>E. 3.1</w:t>
      </w:r>
    </w:p>
    <w:p>
      <w:r>
        <w:t>Erstens soll das Obergericht den Honorarrahmen zu Unrecht nicht ausgeschöpft und den Zuschlag gemäss Art. 9 PVK verweigert haben, obwohl die entsprechenden Voraussetzungen offensichtlich erfüllt gewesen seien. Der Beschwerdeführer macht geltend, weil sein Mandant im Unterschied zur Gegenpartei des Deutschen nicht mächtig sei, habe sämtliche Korrespondenz in englischer Sprache erfolgen müssen. Auch habe er sowohl die gerichtlichen Dokumente als auch die Schriftstücke der Gegenpartei ins Englische übersetzen müssen. Dieser Zusatzaufwand schlage mit mindestens 20 % des gesamten Aufwands zu Buche. Diesen gegenüber der Vertreterin der Ehefrau ungleich höheren Aufwand habe das Obergericht ausser Acht gelassen, obwohl es selbst darauf hingewiesen habe, dass gemäss Art. 9 PVK ein Zuschlag auf das Honorar ausgerichtet werden könne, wenn wesentliche Korrespondenz in einer anderen als der Gerichtssprache vorliege.</w:t>
      </w:r>
    </w:p>
    <w:p>
      <w:r>
        <w:t>Allein damit ist keine Willkür darzutun. Das Obergericht befand, das Eheschutzverfahren sei durchschnittlich schwierig, aufgrund des eher grossen Aktenumfanges und des erheblich schwankenden Einkommens des Mandanten jedoch leicht überdurchschnittlich aufwendig gewesen. Ausdrücklich hielt es überdies fest, hinzu komme, dass der Mandant in Kanada lebt und ein wesentlicher Teil des Briefwechsels bzw. E-Mail-Verkehrs in Englisch erfolgte. Der Vorwurf, das Obergericht habe den durch die Fremdsprache bedingten Zusatzaufwand ausser Acht gelassen, trifft also nicht zu. Die Rüge erweist sich insofern als unbegründet.</w:t>
      </w:r>
    </w:p>
    <w:p>
      <w:r>
        <w:rPr>
          <w:b/>
        </w:rPr>
        <w:t>E. 3.2</w:t>
      </w:r>
    </w:p>
    <w:p>
      <w:r>
        <w:t>Zweitens wirft der Beschwerdeführer der Vorinstanz vor, seinen Aufwand für das Rekursverfahren betreffend die Verweigerung der unentgeltlichen Rechtspflege (Bst. C.c) in den ihm zugestandenen 30 Stunden eingeschlossen zu haben. Nachdem er für dieses Verfahren eine Honorarnote über 6.5 Stunden eingereicht habe, würden ihm für das Hauptverfahren im Ergebnis nur mehr 23.5 Stunden zugesprochen. Weil die amtliche Entschädigung der Gegenanwältin ebenfalls auf 30 Stunden bestimmt worden, dieser im erwähnten Rekursverfahren aber keinerlei Aufwand entstanden sei, habe ihm das Obergericht im Ergebnis über 20 % weniger Stundenaufwand zugesprochen als der Vertreterin der Gegenpartei, obwohl aufgrund der tatsächlichen Verhältnisse ein rund 20 % höherer Aufwand als geboten angesehen werden müsse.</w:t>
      </w:r>
    </w:p>
    <w:p>
      <w:r>
        <w:t>Von vornherein fehl geht die Argumentation des Beschwerdeführers, das Obergericht gestehe ihm für das Hauptverfahren im Ergebnis nur 23.5 Stunden an gebotenem Aufwand zu. Denn dem angefochtenen Entscheid lassen sich keinerlei Anhaltspunkte dafür entnehmen, dass das Obergericht den für das Rekursverfahren gebotenen Stundenaufwand im Umfang von 6.5 Stunden zugelassen hätte. Sodann trifft es zwar zu, dass das Obergericht den Aufwand der gegnerischen Vertreterin mit 30 Stunden gleich hoch wie für ihn veranschlagt hat. Selbst wenn das Obergericht in Ausübung seines Ermessens den gebotenen Stundenaufwand der Gegenanwältin im Ergebnis aber grosszügiger als denjenigen des Beschwerdeführers bemessen haben sollte, vermag dieser allein daraus nichts zu seinen Gunsten abzuleiten. Insbesondere tut der Beschwerdeführer in keiner Weise dar, dass das kantonale Recht eine Regel enthielte, wonach amtliche Vertreter gegnerischer Parteien einen gesetzlichen Anspruch darauf hätten, für das gleiche Verfahren gleich viel Honorar zugesprochen zu bekommen. Die Willkürrüge ist auch in dieser Hinsicht unbegründet.</w:t>
      </w:r>
    </w:p>
    <w:p>
      <w:r>
        <w:rPr>
          <w:b/>
        </w:rPr>
        <w:t>E. 3.3</w:t>
      </w:r>
    </w:p>
    <w:p>
      <w:r>
        <w:t>Schliesslich ist darauf hinzuweisen, dass nach der bundesgerichtlichen Praxis für Offizialverteidiger in Strafsachen im Sinne einer Faustregel von einem Mindesthonorar von Fr. 180.-- pro Stunde auszugehen ist ( BGE 132 I 201 E. 8.5-8.7 S. 216 ff.) und die Entschädigung des unentgeltlichen Rechtsbeistands gemäss Urteil 6B_750/2007 vom 14. April 2008 zwischen 60 % und 85 % des sonst üblichen kantonalen Honorars für privat tätige Anwälte liegen sollte (E. 2.2 und 2.3, bestätigt in Urteil 5D_1/2009 vom 13. Februar 2009 E. 2.3.3). Dass der eingesetzte Stundenaufwand von 30 Stunden à Fr. 230.-- bzw. das zugesprochene Honorar von Fr. 6'900.-- (exkl. 7.6 % Mehrwertsteuer) in willkürlicher Weise von derjenigen Entschädigung abwiche, die er bei Anwendung der geschilderten Minimalansätze insgesamt beanspruchen könnte, macht der Beschwerdeführer jedoch nicht geltend. Er zeigt also nicht auf, dass die Festsetzung seiner amtlichen Entschädigung auch im Ergebnis willkürlich ist, wie es die Rechtsprechung zum Rügeprinzip verlangt (E. 2.2).</w:t>
      </w:r>
    </w:p>
    <w:p>
      <w:r>
        <w:rPr>
          <w:b/>
        </w:rPr>
        <w:t>E. 4</w:t>
      </w:r>
    </w:p>
    <w:p>
      <w:r>
        <w:t>Nach dem Gesagten ist die Beschwerde abzuweisen, soweit darauf eingetreten werden kann. Bei diesem Verfahrensausgang hat der Beschwerdeführer die Gerichtskosten zu tragen ( Art. 66 Abs. 1 BGG ). Dem Obergericht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