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5A_198/2015 vom 28. Mai 2015</w:t>
      </w:r>
    </w:p>
    <w:p>
      <w:r>
        <w:t>Bundesgericht, 2015-05-28, DE</w:t>
      </w:r>
    </w:p>
    <w:p>
      <w:r>
        <w:rPr>
          <w:b/>
        </w:rPr>
        <w:t xml:space="preserve">Quelle: </w:t>
      </w:r>
      <w:r>
        <w:t>https://mcp.opencaselaw.ch/entscheid/bger_5A_198_2015</w:t>
      </w:r>
    </w:p>
    <w:p>
      <w:r>
        <w:t>FR: TF 5A_198/2015 du 28 mai 2015</w:t>
      </w:r>
    </w:p>
    <w:p>
      <w:r>
        <w:t>IT: TF 5A_198/2015 del 28 maggio 2015</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Als Schuldner steht dem Beschwerdeführer in der Regel ein schutzwürdiges Interesse an der Anfechtung des vorinstanzlichen Entscheides zu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Die Anwendung von kantonalem Recht kann nur unter dem Blickwinkel der Willkür überprüft werden ( BGE 134 III 379 E. 1.2 S. 382/383).</w:t>
      </w:r>
    </w:p>
    <w:p>
      <w:r>
        <w:rPr>
          <w:b/>
        </w:rPr>
        <w:t>E. 1.3</w:t>
      </w:r>
    </w:p>
    <w:p>
      <w:r>
        <w:t>Das Bundesgericht legt seinem Urteil den Sachverhalt zugrunde, den die Vorinstanz festgestellt hat ( Art. 105 BGG ). Neue Tatsachen und Beweismittel sind nicht zulässig ( Art. 99 Abs. 1 BGG ). Damit kann dem Antrag auf Anfrage beim Betreibungsamt nicht stattgegeben werden. Die eingereichten Belege werden nicht berücksichtigt, soweit sie sich nicht bereits in den Akten befinden.</w:t>
      </w:r>
    </w:p>
    <w:p>
      <w:r>
        <w:rPr>
          <w:b/>
        </w:rPr>
        <w:t>E. 2</w:t>
      </w:r>
    </w:p>
    <w:p>
      <w:r>
        <w:t>Die Vorinstanz hat die Frage unbeantwortet gelassen, ob gegen im Beschwerdeverfahren nach Art. 17 f. SchKG ergangene Entscheide überhaupt die Möglichkeit einer Revision gegeben ist. Soweit eine Revision zulässig sein sollte, könnten einzig die Revisionsgründe nach Art. 328 ff. ZPO angerufen werden. Davon abgesehen, dass das Revisionsgesuch keine gesetzlichen Revisionsgründe genannt habe, berechtigt nach Ansicht der Vorinstanz die vom Gesuchsteller verlangte Abrechnung der Zwangsversteigerung vom 29. Februar 2008 schon aus zeitlichen Gründen keine Revision und vermag auch nicht deren Nichtigkeit zu begründen. Dass ein strafrechtlich relevantes Verhalten zum Nachteil des Gesuchstellers auf die bisher ergangenen Entscheide eingewirkt hätte, sei nicht ersichtlich.</w:t>
      </w:r>
    </w:p>
    <w:p>
      <w:r>
        <w:rPr>
          <w:b/>
        </w:rPr>
        <w:t>E. 3</w:t>
      </w:r>
    </w:p>
    <w:p>
      <w:r>
        <w:t>Anlass zur vorliegenden Beschwerde gibt ein Revisionsgesuch an die kantonale Aufsichtsbehörde.</w:t>
      </w:r>
    </w:p>
    <w:p>
      <w:r>
        <w:rPr>
          <w:b/>
        </w:rPr>
        <w:t>E. 3.1</w:t>
      </w:r>
    </w:p>
    <w:p>
      <w:r>
        <w:t>Das Verfahren vor den kantonalen Aufsichtsbehörden richtet sich nach Art. 20a Abs. 2 SchKG und wird im übrigen gemäss Art. 20a Abs. 3 SchKG durch die Kantone geregelt. Die Frage, ob nach Bundesrecht eine Revision von rechtskräftigen Entscheiden der Aufsichtsbehörden möglich ist oder sich eine solche nach dem kantonalen Recht richtet, ist bisher vom Bundesgericht nicht beantwortet worden (vgl. BGE 31 I 761 E. 1 S. 767). In der Lehre wird betont, dass das SchKG zur Möglichkeit einer Revision schweigt und deren Regelung den Kantonen überlässt (Lorandi, Betreibungsrechtliche Beschwerde und Nichtigkeit, 2000, N. 108 zu Art. 20a; Gilliéron, Commentaire de la loi fédérale sur la poursuite et la faillite, Bd. I, 1999, N. 188 zu Art. 20a; COMETTA/MÖCKLI, in: Basler Kommentar, Bundesgesetz über Schuldbetreibung und Konkurs, 2. Aufl. 2014, N. 66 zu Art. 17; JENT-S ø RENSEN, Das kantonale Verfahren nach Art. 20a Abs. 3 SchKG : ein Relikt und die Möglichkeit der Vereinheitlichung, in: BlSchK 2013 S. 92). Auf jeden Fall kommt eine Revision nur in Frage, wenn vom Gesuchsteller auch Revisionsgründe vorgebracht werden. Das Institut der Revision soll nicht dazu dienen, einen Entscheid gleichsam in Wiedererwägung zu ziehen (vgl. betreffend Rechtskraft BGE 133 III 580 E. 2.1 S. 592; Urteil 5A_597/2008 vom 27. Januar 2009 E. 3.3.2).</w:t>
      </w:r>
    </w:p>
    <w:p>
      <w:r>
        <w:rPr>
          <w:b/>
        </w:rPr>
        <w:t>E. 3.2</w:t>
      </w:r>
    </w:p>
    <w:p>
      <w:r>
        <w:t>Im vorliegenden Fall waren aufgrund der Ausführungen des Beschwerdeführers keine der Revisionsgründe erkennbar, wie sie etwa in Art. 328 ff. ZPO oder allenfalls in einem anderen Erlass vorgesehen sein könnten. Damit durfte die Vorinstanz auf die fehlende Regelung der Revision im SchKG hinweisen. Sie musste auch die Frage nicht abschliessend beantworten, ob allenfalls die Möglichkeit einer Revision aufgrund der kantonalen Rechtslage überhaupt gegeben ist. Ihr Nichteintretensentscheid ist damit weder in Verletzung von Bundesrecht noch in willkürlicher Anwendung von kantonalem Recht ergangen.</w:t>
      </w:r>
    </w:p>
    <w:p>
      <w:r>
        <w:rPr>
          <w:b/>
        </w:rPr>
        <w:t>E. 3.3</w:t>
      </w:r>
    </w:p>
    <w:p>
      <w:r>
        <w:t>Der Beschwerdeführer setzt sich mit dem vorinstanzlichen Nichteintretensentscheid nicht auseinander. Er wiederholt vor Bundesgericht lediglich seine bereits im kantonalen Verfahren formulierten Begehren. Insbesondere nimmt er nicht zu allfälligen Revisionsgründen Stellung. Er zielt im Wesentlichen darauf ab, die Zwangsversteigerung seiner Liegenschaft, mit der sich die kantonalen Gerichte und das Bundesgericht bereits mehrfach befasst haben, einmal mehr in Frage zu stellen. Dazu nennt er eine Reihe von Unregelmässigkeiten, die ihn seiner Ansicht nach zu einer Revision berechtigen, und stellt das der Verwertung zugrunde gelegene Lastenverzeichnis einschliesslich der Berechtigung des auf seiner damaligen Liegenschaft lastenden Schuldbriefs in Frage. Damit verkennt er die Anforderungen an die Begründung einer Beschwerde (E. 1.2). Soweit der Beschwerdeführer überdies meint, das Bundesgericht prüfe seine Angelegenheit von Amtes wegen, kann ihm nicht gefolgt werden.</w:t>
      </w:r>
    </w:p>
    <w:p>
      <w:r>
        <w:rPr>
          <w:b/>
        </w:rPr>
        <w:t>E. 4</w:t>
      </w:r>
    </w:p>
    <w:p>
      <w:r>
        <w:t>Der Beschwerdeführer wirft dem jetzigen Betreibungsbeamten und seinem Vorgänger Unregelmässigkeiten in der Amtsführung und Befangenheit in seiner Angelegenheit vor. Er verlangt die Anordnung disziplinarischer Massnahmen. Soweit der Beschwerdeführer eine Disziplinarmassnahme nach Art. 14 Abs. 2 SchKG anstrebt, ist er darauf hinzuweisen, dass er nur die Stellung eines Anzeigers hat. Es genügt, dass die zuständige Behörde Kenntnis von den behaupteten Unregelmässigkeiten hat, was aufgrund der Eingabe vom 3. Dezember 2014 an die Erstinstanz zweifellos der Fall ist. Hingegen steht dem Beschwerdeführer kein Anspruch auf disziplinarische Massregelung zu ( BGE 91 III 41 E. 6 S. 46; Urteil 5A_45/2010 vom 22. Februar 2010 E. 1.2; Gilliéron, a.a.O., N. 35 zu Art. 14; EMMEL, in: Basler Kommentar, Bundesgesetz über Schuldbetreibung und Konkurs, 2. Aufl. 2014, N. 12 zu Art. 14). Verzichtet die kantonale Aufsichtsbehörde auf eine Disziplinierung, so kann auf die Rüge, diese habe zu Unrecht darauf verzichtet, nicht eingetreten werden. Soweit der Beschwerdeführer zudem auch im laufenden Verfahren die Anordnung von Disziplinarmassnahmen verlangt, ist er darauf hinzuweisen, dass die Kompetenz hierzu ausschliesslich bei den kantonalen Aufsichtsbehörden und weder beim Bundesgericht noch beim Bundesrat liegt ( LEVANTE, in: Kurzkommentar SchKG, 2. Aufl. 2014, N. 5 zu Art. 14).</w:t>
      </w:r>
    </w:p>
    <w:p>
      <w:r>
        <w:rPr>
          <w:b/>
        </w:rPr>
        <w:t>E. 5</w:t>
      </w:r>
    </w:p>
    <w:p>
      <w:r>
        <w:t>Der Beschwerdeführer rügt zudem, dass ihm im kantonalen Verfahren kein unentgeltlicher Rechtsbeistand gewährt worden ist. Das Verfahren vor der kantonalen Aufsichtsbehörde ist grundsätzlich kostenlos ( Art. 20a Abs. 2 Ziff. 5 SchKG ). Damit steht einzig die Gewährung eines unentgeltlichen Rechtsbeistandes in Frage (vgl. BGE 122 III 392 E. 3c S. 394), um welche der Beschwerdeführer die Vorinstanz ersucht hat, ohne einen Vertreter seiner Wahl zu bezeichnen. Die Vorinstanz hat die Ernennung eines unentgeltlichen Rechtsbeistandes mit dem Hinweis auf die offensichtliche Aussichtslosigkeit der Begehren abgelehnt. Zudem hat sie dem Beschwerdeführer (mit Hinweis auf frühere Verfahren) erneut erläutert, dass allfällige Mängel in der Begründung nach Fristablauf nicht verbessert werden können. Demgegenüber verweist der Beschwerdeführer einzig auf seine fehlenden Rechtskenntnisse, weshalb ihm eine mangelhafte Begründung nicht zum Nachteil gereichen dürfe. Dass seine Anträge an die Vorinstanz als solche keine Aussicht auf Erfolg haben konnten, bestreitet er lediglich. Eine nur ansatzweise Begründung, weshalb ihm ein unentgeltlicher Rechtsbeistand hätte ernannt werden sollen, lässt sich daraus nicht entnehmen.</w:t>
      </w:r>
    </w:p>
    <w:p>
      <w:r>
        <w:rPr>
          <w:b/>
        </w:rPr>
        <w:t>E. 6</w:t>
      </w:r>
    </w:p>
    <w:p>
      <w:r>
        <w:t>Nach dem Gesagten ist der Beschwerde insgesamt kein Erfolg beschieden. Da sich die Anträge des Beschwerdeführers mangels rechtsgenüglicher Begründung von Beginn an als aussichtslos erwiesen, kann seinem Gesuch um unentgeltliche Rechtspflege nicht stattgegeben werden ( Art. 64 Abs. 1 BGG ). Ausgangsgemäss werden die 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