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5A_197/2019 vom 11. März 2019</w:t>
      </w:r>
    </w:p>
    <w:p>
      <w:r>
        <w:t>Bundesgericht, 2019-03-11, DE</w:t>
      </w:r>
    </w:p>
    <w:p>
      <w:r>
        <w:rPr>
          <w:b/>
        </w:rPr>
        <w:t xml:space="preserve">Quelle: </w:t>
      </w:r>
      <w:r>
        <w:t>https://mcp.opencaselaw.ch/entscheid/bger_5A_197_2019</w:t>
      </w:r>
    </w:p>
    <w:p>
      <w:r>
        <w:t>FR: TF 5A_197/2019 du 11 mars 2019</w:t>
      </w:r>
    </w:p>
    <w:p>
      <w:r>
        <w:t>IT: TF 5A_197/2019 del 11 marzo 2019</w:t>
      </w:r>
    </w:p>
    <w:p>
      <w:pPr>
        <w:pStyle w:val="Heading2"/>
      </w:pPr>
      <w:r>
        <w:t>Erwägungen</w:t>
      </w:r>
    </w:p>
    <w:p>
      <w:r>
        <w:rPr>
          <w:b/>
        </w:rPr>
        <w:t>E. 1</w:t>
      </w:r>
    </w:p>
    <w:p>
      <w:r>
        <w:t>Die gestellten Begehren sind aus mehreren Gründen unzulässig: Erstens sind sie neu ( Art. 99 Abs. 2 BGG ), zweitens stehen sie ausserhalb des Gegenstandes des angefochtenen Entscheides ( BGE 136 V 362 E. 3.4.2 S. 365; Urteil 5A_761/2016 vom 20. Juni 2017 E. 2.2.3) und drittens ist das Bundesgericht weder für die Entgegennahme von Strafanzeigen oder gar Einleitung von Strafverfahren noch für die Anordnung von Untersuchungen betreffend kantonale Verfahren zuständig.</w:t>
      </w:r>
    </w:p>
    <w:p>
      <w:r>
        <w:rPr>
          <w:b/>
        </w:rPr>
        <w:t>E. 2</w:t>
      </w:r>
    </w:p>
    <w:p>
      <w:r>
        <w:t>Nach dem Gesagten erweist sich die Beschwerde als offensichtlich unzulässig und es ist im vereinfachten Verfahren nach Art. 108 Abs. 1 lit. a BGG nicht darauf einzutreten.</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