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195/2020 vom 13. März 2020</w:t>
      </w:r>
    </w:p>
    <w:p>
      <w:r>
        <w:t>Bundesgericht, 2020-03-13, DE</w:t>
      </w:r>
    </w:p>
    <w:p>
      <w:r>
        <w:rPr>
          <w:b/>
        </w:rPr>
        <w:t xml:space="preserve">Quelle: </w:t>
      </w:r>
      <w:r>
        <w:t>https://mcp.opencaselaw.ch/entscheid/bger_5A_195_2020</w:t>
      </w:r>
    </w:p>
    <w:p>
      <w:r>
        <w:t>FR: TF 5A 195/2020 du 13 mars 2020</w:t>
      </w:r>
    </w:p>
    <w:p>
      <w:r>
        <w:t>IT: TF 5A 195/2020 del 13 marzo 2020</w:t>
      </w:r>
    </w:p>
    <w:p>
      <w:pPr>
        <w:pStyle w:val="Heading2"/>
      </w:pPr>
      <w:r>
        <w:t>Regeste</w:t>
      </w:r>
    </w:p>
    <w:p>
      <w:r>
        <w:t>Mitwirkung der Behörde (Abschluss Pflegevertrag) | Familienrecht</w:t>
      </w:r>
    </w:p>
    <w:p>
      <w:pPr>
        <w:pStyle w:val="Heading2"/>
      </w:pPr>
      <w:r>
        <w:t>Erwägungen</w:t>
      </w:r>
    </w:p>
    <w:p>
      <w:r>
        <w:rPr>
          <w:b/>
        </w:rPr>
        <w:t>E. 1</w:t>
      </w:r>
    </w:p>
    <w:p>
      <w:r>
        <w:t>Der angefochtene Entscheid ist von der Sache her ein Rückweisungsentscheid. Er schliesst das Verfahren nicht ab und ist deshalb kein End-, sondern ein Zwischenentscheid. Dieser kann - ausser der Vorinstanz verbleibe aufgrund der Rückweisung kein Entscheidungsspielraum mehr, was im Bereich des Zivilrechts kaum je und insbesondere vorliegend nicht der Fall ist - nur unter den Voraussetzungen von Art. 93 BGG direkt mit Beschwerde beim Bundesgericht angefochten werden (zum Ganzen: BGE 144 III 253 E. 1.3 und 1.4 mit Hinweisen auf die Rechtsprechung). In der Beschwerde ist im Einzelnen darzulegen, inwiefern die Voraussetzungen nach Art. 93 BGG erfüllt sind, ansonsten auf die Beschwerde mangels hinreichender Begründung nicht einzutreten ist ( BGE 137 III 324 E. 1.1 mit Hinwiesen auf die Rechtsprechung).</w:t>
      </w:r>
    </w:p>
    <w:p>
      <w:r>
        <w:rPr>
          <w:b/>
        </w:rPr>
        <w:t>E. 2</w:t>
      </w:r>
    </w:p>
    <w:p>
      <w:r>
        <w:t>Die Beschwerdeführerin macht geltend, sie sei völlig normal und gesund; zudem möchte sie gerne in eine neue Wohnung in U.________, weil sie Heimweh habe. Dies genügt nach dem in E. 1 Gesagten nicht zur Begründung der Anfechtung des Zwischenentscheides. Auf die Beschwerde ist deshalb im vereinfachten Verfahren nach Art. 108 Abs. 1 lit. b BGG nicht einzutreten. Die Beschwerdeführerin wird mit einer Beschwerde gegen den Endentscheid bis vor Bundesgericht gelangen können.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