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5A_192/2022 vom 25. März 2022</w:t>
      </w:r>
    </w:p>
    <w:p>
      <w:r>
        <w:t>Bundesgericht, 2022-03-25, DE</w:t>
      </w:r>
    </w:p>
    <w:p>
      <w:r>
        <w:rPr>
          <w:b/>
        </w:rPr>
        <w:t xml:space="preserve">Quelle: </w:t>
      </w:r>
      <w:r>
        <w:t>https://mcp.opencaselaw.ch/entscheid/bger_5A_192_2022</w:t>
      </w:r>
    </w:p>
    <w:p>
      <w:r>
        <w:t>FR: TF 5A_192/2022 du 25 mars 2022</w:t>
      </w:r>
    </w:p>
    <w:p>
      <w:r>
        <w:t>IT: TF 5A_192/2022 del 25 marzo 2022</w:t>
      </w:r>
    </w:p>
    <w:p>
      <w:pPr>
        <w:pStyle w:val="Heading2"/>
      </w:pPr>
      <w:r>
        <w:t>Erwägungen</w:t>
      </w:r>
    </w:p>
    <w:p>
      <w:r>
        <w:rPr>
          <w:b/>
        </w:rPr>
        <w:t>E. 1</w:t>
      </w:r>
    </w:p>
    <w:p>
      <w:r>
        <w:t>Mit Entscheid vom 5. Oktober 2021 erteilte das Zivilgericht Basel-Stadt dem Beschwerdegegner gegenüber der Beschwerdeführerin in der Betreibung Nr. xxx des Betreibungsamtes Basel-Stadt die definitive Rechtsöffnung für Fr. 67'140.-- nebst Zinsen und Gebühren.</w:t>
      </w:r>
    </w:p>
    <w:p>
      <w:r>
        <w:t>Dagegen erhob die Beschwerdeführerin am 17. Oktober 2021 (Postaufgabe) Beschwerde beim Appellationsgericht des Kantons Basel-Stadt. In der Folge reichte sie zahlreiche weitere Eingaben ein. Mit Entscheid vom 9. Februar 2022 wies das Appellationsgericht die Beschwerde ab.</w:t>
      </w:r>
    </w:p>
    <w:p>
      <w:r>
        <w:t>Dagegen hat die Beschwerdeführerin mit Eingabe vom 15. März 2022 (Postaufgabe 17. März 2022) Beschwerde an das Bundesgericht erhoben. Mit Eingaben vom 19. März 2022 (Postaufgabe 20. März 2022), 21. März 2022 (Postaufgabe gleichentags) und 23. März 2022 (Postaufgabe 24. März 2022) hat sie die Beschwerde ergänzt.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Appellationsgericht hat erwogen, dass sich die Beschwerdeführerin mit dem erstinstanzlichen Entscheid nicht auseinandersetze. Insbesondere zeige sie nicht auf, weshalb die erstinstanzliche Sachverhaltsfeststellung, wonach sich das Rechtsöffnungsgesuch auf rechtskräftige und vollstreckbare Verfügungen (Rektifikat der Steuerneuberechnung für die Grundstückgewinnsteuer vom 25. März 2020 und Gebührenverfügung vom 23. März 2021) abstütze, offensichtlich unrichtig sein soll. Die materielle Richtigkeit der vollstreckbaren Verfügung könne im Rechtsöffnungsverfahren nicht geprüft werden.</w:t>
      </w:r>
    </w:p>
    <w:p>
      <w:r>
        <w:rPr>
          <w:b/>
        </w:rPr>
        <w:t>E. 4</w:t>
      </w:r>
    </w:p>
    <w:p>
      <w:r>
        <w:t>Die Beschwerdeführerin äussert sich vor Bundesgericht in erster Linie zu einer Zivilstands- und Erbschaftssache und sie beruft sich auf neue Tatsachen. Soweit sie mit ihren schwer verständlichen Ausführungen die Richtigkeit oder die Vollstreckbarkeit der zu vollstreckenden Verfügungen bestreiten will, fehlt jegliche Auseinandersetzung mit den entsprechenden vorinstanzlichen Erwägungen. Neue Tatsachen können sodann vor Bundesgericht grundsätzlich nicht vorgebracht werden ( Art. 99 Abs. 1 BGG ).</w:t>
      </w:r>
    </w:p>
    <w:p>
      <w:r>
        <w:t>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