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192/2018 vom 30. April 2018</w:t>
      </w:r>
    </w:p>
    <w:p>
      <w:r>
        <w:t>Bundesgericht, 2018-04-30, FR</w:t>
      </w:r>
    </w:p>
    <w:p>
      <w:r>
        <w:rPr>
          <w:b/>
        </w:rPr>
        <w:t xml:space="preserve">Quelle: </w:t>
      </w:r>
      <w:r>
        <w:t>https://mcp.opencaselaw.ch/entscheid/bger_5A_192_2018</w:t>
      </w:r>
    </w:p>
    <w:p>
      <w:r>
        <w:t>FR: TF 5A 192/2018 du 30 avril 2018</w:t>
      </w:r>
    </w:p>
    <w:p>
      <w:r>
        <w:t>IT: TF 5A 192/2018 del 30 aprile 2018</w:t>
      </w:r>
    </w:p>
    <w:p>
      <w:pPr>
        <w:pStyle w:val="Heading2"/>
      </w:pPr>
      <w:r>
        <w:t>Regeste</w:t>
      </w:r>
    </w:p>
    <w:p>
      <w:r>
        <w:t>curatelle | Droit de la famille</w:t>
      </w:r>
    </w:p>
    <w:p>
      <w:pPr>
        <w:pStyle w:val="Heading2"/>
      </w:pPr>
      <w:r>
        <w:t>Erwägungen</w:t>
      </w:r>
    </w:p>
    <w:p>
      <w:r>
        <w:rPr>
          <w:b/>
        </w:rPr>
        <w:t>E. 1</w:t>
      </w:r>
    </w:p>
    <w:p>
      <w:r>
        <w:t>Déposé dans le délai légal ( art. 100 al. 1 LTF ), par une partie qui a pris part à la procédure devant l'autorité précédente et est lésée par la décision prise ( art. 76 al. 1 LTF ),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142 III 364 consid. 2.4 et les références). Cette norme impose à la partie recourante de discuter succinctement les motifs de l'acte attaqué ( ATF 134 II 244 consid. 2.1); il suffit néanmoins que, à la lecture de son argumentation, on puisse comprendre aisément quelles règles juridiques auraient été violées par l'autorité cantonale ( ATF 142 I 99 consid. 1.7.1; 140 III 86 consid. 2). Par ailleurs, en tant que le recourant se réfère à des droits fondamentaux, le Tribunal fédéral n'examine la violation de tels droits que si le grief a été invoqué et motivé de manière claire et détaillée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soutient que les faits ont été établis d'une manière manifestement inexacte ( art. 97 al. 1 LTF ), à savoir arbitraire au sens de l' art. 9 Cst. ( ATF 143 I 310 consid. 2.2 et la référence), doit démontrer, par une argumentation précise, en quoi consiste cette violation ( art. 106 al. 2 LTF ; cf. supra consid. 2.1); les critiques de nature appellatoire sont irrecevables ( ATF 141 IV 249 consid. 1.3.1 et la référence). Enfin, aucun fait nouveau ne peut être présenté, à moins de résulter de la décision de l'autorité précédente ( art. 99 al. 1 LTF ).</w:t>
      </w:r>
    </w:p>
    <w:p>
      <w:r>
        <w:rPr>
          <w:b/>
        </w:rPr>
        <w:t>E. 2.3</w:t>
      </w:r>
    </w:p>
    <w:p>
      <w:r>
        <w:t>Le Tribunal fédéral ne revoit qu'avec retenue l'exercice du pouvoir d'appréciation dont dispose l'autorité cantonale. Ce n'est que lorsque celle-ci a excédé son pouvoir d'appréciation ou en a abusé, et a abouti à un résultat manifestement injuste ou à une iniquité choquante, qu'il intervient ( ATF 143 III 140 consid. 4.1.3; 141 V 51 consid. 9.2 et les références).</w:t>
      </w:r>
    </w:p>
    <w:p>
      <w:r>
        <w:rPr>
          <w:b/>
        </w:rPr>
        <w:t>E. 3</w:t>
      </w:r>
    </w:p>
    <w:p>
      <w:r>
        <w:t>La recourante soulève le grief de violation des art. 389, 390, 394 et 395 CC, considérant que le besoin de protection exigé pour instituer une curatelle fait défaut et que le principe de proportionnalité est manifestement violé.</w:t>
      </w:r>
    </w:p>
    <w:p>
      <w:r>
        <w:rPr>
          <w:b/>
        </w:rPr>
        <w:t>E. 3.1</w:t>
      </w:r>
    </w:p>
    <w:p>
      <w:r>
        <w:t>L'autorité de protection de l'adulte prend les mesures indiquées pour garantir l'assistance et la protection de la personne qui a besoin d'aide ( art. 388 CC ), dans le respect des principes de subsidiarité et de proportionnalité ( art. 389 CC ). 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celle-ci se réfère aux personnes qui souffrent de "déficience mentale", de "troubles psychiques" ou d' "un autre état de faiblesse" qui affecte leur condition personnelle. L'expression "troubles psychiques" englobe toutes les pathologies mentales reconnues en psychiatrie, à savoir les psychoses et les psychopathies ayant des causes physiques ou encore les démences. Les notions de "déficience mentale" et de "troubles psychiques"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5A_617/2014 du 1er décembre 2014 consid. 4.2 et 4.3 et les références). Il faut ainsi encore que l'existence de l'une des causes précitées empêche partiellement ou totalement la personne concernée d'assurer elle-même la sauvegarde de ses intérêts. Selon l' art. 394 CC ,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(arrêts 5A_743/2015 du 11 décembre 2015 consid. 4.1; 5A_356/2015 du 26 juin 2015 consid. 3.1; MEIER, Droit de la protection de l'adulte, 2016, n. 812 et les références). L' art. 395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 par le besoin de protection concret au regard des circonstances (arrêt 5A_540/2013 du 3 décembre 2013 consid. 5.1.1). L' 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 art. 389 al. 1 CC ; arrêt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 art. 389 al. 2 CC ; ATF 140 III 49 consid. 4.3; arrêt 5A_116/2017 du 12 septembre 2017 consid. 4.3.1). La mesure ordonnée doit donc se trouver en adéquation avec le but fixé, représenter l'atteinte la plus faible possible pour être compatible avec celui-ci et rester dans un rapport raisonnable entre lui et l'atteinte engendrée ( ATF 140 III 49 consid. 4.3.1; arrêt 5A_1034/2015 du 2 février 2016 consid. 3.1). Ces principes valent également pour la curatelle de représentation ( ATF 140 III 49 consid. 4.3.1; arrêt 5A_1034/2015 précité consid. 3.1).</w:t>
      </w:r>
    </w:p>
    <w:p>
      <w:r>
        <w:rPr>
          <w:b/>
        </w:rPr>
        <w:t>E. 3.2</w:t>
      </w:r>
    </w:p>
    <w:p>
      <w:r>
        <w:t>La cour cantonale constate, dans les faits, que la recourante a été entendue une première fois le 7 octobre 2016 par la Juge de paix, qu'elle a notamment déclaré ne pas exercer d'activité professionnelle et bénéficier du revenu d'insertion, disposer des services d'une gestionnaire de budget du Centre Social Régional, avoir une situation financière difficile - qu'elle peut assumer seule - et peiner à honorer ses rendez-vous. Se référant au rapport des Drs D.________ et E.________ du 13 septembre 2017, la cour cantonale relève notamment que lesexperts ont retenu, dans leurs conclusions, que la recourante présentait un épisode hypomaniaque dans le cadre d'un trouble affectif bipolaire ainsi qu'éventuellement dans le cadre d'un trouble schizo-affectif, affections de nature chronique. Sous réserve qu'elle soit correctement traitée, il était envisageable de soigner l'épisode hypomaniaque dans un laps de temps plus ou moins court. Toutefois, n'ayant pas conscience de sa maladie psychiatrique, de ses problèmes d'alcool et de l'impact que ses affections avaient sur sa vie quotidienne, lesquelles étaient de nature à l'empêcher d'apprécier la portée de ses actes et d'assurer elle-même la sauvegarde de ses intérêts, la recourante présentait des symptômes hypomanes qui altéraient la perception de ses capacités, augmentaient son estime de soi et perturbaient le rythme de ses activités quotidiennes. En raison de ces symptômes, la recourante n'était pas non plus en mesure de gérer ses affaires. Elle se montrait dispersée, désorganisée dans son comportement et rencontrait des difficultés importantes pour effectuer les tâches les plus simples. La cour cantonale évoque également les raisons pour lesquelles les experts préconisaient aussi une prise en charge stationnaire. Elle relève par ailleurs que, par courrier du 28 septembre 2017, la Dresse F.________, médecin déléguée du district de Lausanne, a notamment exposé que la recourante lui avait déclaré gérer seule ses affaires administratives, ne pas avoir de poursuites et trouver facilement les documents qu'elle recherchait. En l'absence de dépenses inconsidérées, la thérapeute n'avait pas d'éléments suffisants pour préconiser la mise en place d'une curatelle, celle-ci étant toutefois plus à même de l'aider dans " certains domaines avec autrui ", dès lors que la recourante avait une propension à percevoir les actions de tiers comme hostiles et pouvait se retrouver dans des relations interpersonnelles conflictuelles, y compris au niveau de la gestion de ses affaires administratives et financières. Le 27 octobre 2017, la Justice de paix a entendu la recourante, assis-tée de son curateur de représentation et d'une assistante sociale. Le curateur de représentation a notamment précisé que la recourante, qui n'était pas opposée à une mesure de protection moins incisive, souhaitait gérer elle-même ses affaires et avoir lui -même constaté qu'elle était très organisée; il l'estimait apte à s'occuper seule de ses affaires. Quant à l'assistante sociale, elle a notamment relevé qu'ayant effectué ses paiements, la recourante n'avait plus besoin du soutien d'un assistant social de l'hôpital, mais seulement de celui d'un gestionnaire financier. Enfin, la cour cantonale a également entendu personnellement la recourante le 6 décembre 2017, celle-ci déclarant notamment être toujours opposée à la curatelle, ne pas avoir de poursuites ni d'arriérés de frais judiciaires relatifs aux procédures pénales dont elle avait fait l'objet, avoir réglé ses jours-amendes ainsi que la pénalité prélevée sur le revenu d'insertion qui avait toutefois été réduit, si bien que les factures s'accumulaient. Compte tenu des circonstances, la juridiction précédente a dans un premier temps décidé de lever la mesure de placement à des fins d'assistance, au profit de mesures ambulatoires préconisées dans un projet de prise en charge du 16 janvier 2018. La cour cantonale a certes constaté une amélioration de la situation de la recourante, se référant au rapport des médecins traitants du 4 décembre 2017, mais elle a également souligné que ceux-ci signalaient que l'intéressée restait dans le déni de sa pathologie, de ses symptômes et de sa situation sociale, et qu'elle se montrait projective avec un sentiment de persécution à l'égard de son voisinage et de l'autorité de protection, restant ambivalente quant à la nécessité d'un traitement. Dans un second temps, la cour cantonale retient, s'agissant de la mesure de curatelle, que selon le rapport d'expertise psychiatrique du 13 septembre 2017, la recourante se trouvait alors dans un grand état d'abandon et n'était plus en mesure de gérer les affaires les plus simples en raison de ses troubles psychiques et de ses consommations conséquentes d'alcool. Ses troubles l'empêchaient d'apprécier la portée de ses actes et d'assurer elle-même la sauvegarde de ses intérêts. Si, dans son rapport du 28 septembre 2017, la Dresse F.________ avait déclaré ne pas avoir suffisamment d'éléments, sur le plan médical, pour préconiser une curatelle, elle avait néanmoins relevé chez la recourante une tendance à percevoir les actions d'autrui comme hostiles et constaté que l'intéressée pouvait se trouver dans des relations interpersonnelles conflictuelles, y compris sur le plan de la gestion de ses affaires administratives et financières, considérant dès lors qu'en ce sens, une curatelle lui serait bénéfique pour entreprendre des négociations par écrit avec autrui dans certains domaines. La cour cantonale estime que ce dernier rapport nuancé ne permet pas de remettre en cause les conclusions très claires de l'expertise du 13 septembre 2017, qui doivent être suivies. Même si la recourante ne paraît pas procéder à des actes inconsidérés et bénéficie du soutien d'un gestionnaire financier pour son revenu d'insertion, la juridiction précédente considère qu'en raison de ses relations conflictuelles avec des tiers, l'assistance d'un curateur de gestion et de représentation apparaît nécessaire pour sauvegarder ses intérêts, d'autant qu'elle admet elle-même que des factures se sont accumulées. Enfin, la cour cantonale expose que la mesure prise respecte le principe de proportionnalité dès lors qu'elle ne touche pas à l'exercice des droits civils de la recourante et n'institue aucune limitation d'accès aux biens. La curatelle de représentation et de gestion, telle qu'instituée par les premiers juges, apparaît, pour l'heure, fondée et doit ainsi être confirmée au vu des circonstances.</w:t>
      </w:r>
    </w:p>
    <w:p>
      <w:r>
        <w:rPr>
          <w:b/>
        </w:rPr>
        <w:t>E. 3.3</w:t>
      </w:r>
    </w:p>
    <w:p>
      <w:r>
        <w:t>Selon la recourante, la décision querellée retient à tort que le rapport d'expertise psychiatrique du 13 septembre 2017 établirait qu'elle se trouverait dans un grave état d'abandon, ne serait plus en mesure de gérer ses affaires en raison de ses troubles psychiques et de ses consommations conséquentes d'alcool et serait ainsi empêchée d'apprécier la portée de ses actes et de sauvegarder ses intérêts. Elle relève que dit rapport a été établi alors qu'elle se trouvait en situation de crise sans aucune médication. La cour cantonale ne saurait se fonder sur un tel rapport, d'ailleurs rédigé plus de quatre mois et demi avant qu'elle ne statue et sans aucun lien avec sa situation actuelle. La recourante précise qu'elle suit à ce jour, à raison de deux fois par mois, une thérapie auprès d'une consultation à U.________ et qu'elle reçoit un traitement sous forme de dépôt médicamenteux une fois par mois. Elle relève que sa santé est dès lors stable. Quant à sa capacité de gérer son patrimoine, la recourante cite un passage du rapport de la Dresse F.________ du 28 septembre 2017 relevant que l'intéressée trouve facilement les documents qu'elle souhaite montrer et signalant ne pas avoir suffisamment d'éléments, sur le plan médical, pour préconiser une curatelle imposée. La recourante se réfère encore à l'amélioration de la situation évoquée par son assistante sociale lors de l'audience du 27 octobre 2017. Elle est en conclusion d'avis qu'elle est en mesure de gérer ses affaires de façon parfaitement raisonnable, disposant également de conseils ponctuels de la part de son gestionnaire financier auprès des Services sociaux. La mesure prise n'est donc pas nécessaire et viole le principe de proportionnalité.</w:t>
      </w:r>
    </w:p>
    <w:p>
      <w:r>
        <w:rPr>
          <w:b/>
        </w:rPr>
        <w:t>E. 3.4</w:t>
      </w:r>
    </w:p>
    <w:p>
      <w:r>
        <w:t>L'avis de la recourante ne saurait être suivi. En effet, celle-ci se contente en substance, dans une approche essentiellement appellatoire, partant irrecevable, de présenter sa propre appréciation des circonstances, ce qui ne suffit pas à démontrer que la cour cantonale aurait abusé de son pouvoir d'appréciation, le Tribunal fédéral ne revoyant qu'avec réserve l'exercice dudit pouvoir (cf. supra consid. 2.3). Elle se limite en l'occurrence à affirmer que les conclusions du rapport du 13 septembre 2017 seraient erronées et sans lien avec la situation actuelle, sans en discuter plus avant le volet médical et les conclusions des experts quant à son état de faiblesse, singulièrement la constatation de troubles psychiques dont elle n'a pas conscience, ce dont la cour cantonale a tenu compte pour retenir un besoin de protection, dès lors que ces troubles l'empêchent d'apprécier la portée de ses actes et d'assurer elle-même la sauvegarde de ses intérêts. Il en va de même lorsque la recourante affirme simplement que sa santé est stable, par référence au traitement ambulatoire en cours ayant succédé à son placement à des fins d'assistance, alors que ledit placement a été levé par la décision querellée et que la prise en charge ambulatoire n'avait pas encore été initiée au moment où la cour cantonale a statué. Enfin, s'agissant du besoin de protection, la recourante cite, de façon sélective, un passage du rapport de la Dresse F.________ du 28 septembre 2017, soit peu après la prise en charge stationnaire, en occultant le fait que si celle-ci a en effet mentionné ne pas avoir suffisamment d'éléments sur le plan médical pour préconiser une curatelle, elle a aussi précisé avoir relevé chez la recourante une tendance à percevoir les actions d'autrui comme hostiles et a indiqué qu'elle pouvait se trouver dans des relations interpersonnelles conflictuelles, y compris sur le plan de la gestion de ses affaires administratives et financières; la recourante ne s'en prend pas à l'appréciation de la juridiction précédente qui relève que ce rapport nuancé ne permet pas de remettre en cause les conclusions très claires de l'expertise du 13 septembre 2017. Enfin, la recourante ne saurait démontrer l'abus du pouvoir d'appréciation de la cour cantonale en se référant aux seules déclarations de son assistante sociale quant au fait que sa situation se stabilisait " gentiment " et qu'elle ne bénéficiait que du soutien d'un gestionnaire financier; la cour cantonale s'est certes aussi référée au soutien précité, mais a procédé à une prise en considération de l'ensemble des circonstances, tenant en particulier également compte des relations conflictuelles avec des tiers et du fait que la recourante elle-même admet que des factures se sont accumulées, motivation que l'intéressée ne discute pas plus avant dans son recours. Au surplus, il sied de relever que la recourante ne remet en cause ni la désignation de la curatrice, ni l'étendue de la mission qui lui a été confiée. En définitive, la mesure prise se révèle conforme au droit fédéral et le grief de sa violation, autant que recevable, doit être rejeté.</w:t>
      </w:r>
    </w:p>
    <w:p>
      <w:r>
        <w:rPr>
          <w:b/>
        </w:rPr>
        <w:t>E. 4</w:t>
      </w:r>
    </w:p>
    <w:p>
      <w:r>
        <w:t>Au vu de ce qui précède, le recours doit être rejeté dans la mesure de sa recevabilité. L'examen du recours démontre également que celui-ci était d'emblée dénué de chances de succès, en sorte que la demande d'assistance judiciaire doit également être rejetée ( art. 64 al. 1 LTF ); les frais judiciaires sont dès lors mis à la charge de la recourante qui succombe ( art. 66 al. 1 LTF ). Il n'y a pas lieu d'octroyer une indemnité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