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5A_191/2026 vom 9. März 2026</w:t>
      </w:r>
    </w:p>
    <w:p>
      <w:r>
        <w:t>Bundesgericht, 2026-03-09, DE</w:t>
      </w:r>
    </w:p>
    <w:p>
      <w:r>
        <w:rPr>
          <w:b/>
        </w:rPr>
        <w:t xml:space="preserve">Quelle: </w:t>
      </w:r>
      <w:r>
        <w:t>https://mcp.opencaselaw.ch/entscheid/bger_5A_191_2026</w:t>
      </w:r>
    </w:p>
    <w:p>
      <w:r>
        <w:t>FR: TF 5A_191/2026 du 9 mars 2026</w:t>
      </w:r>
    </w:p>
    <w:p>
      <w:r>
        <w:t>IT: TF 5A_191/2026 del 9 marzo 2026</w:t>
      </w:r>
    </w:p>
    <w:p>
      <w:pPr>
        <w:pStyle w:val="Heading2"/>
      </w:pPr>
      <w:r>
        <w:t>Erwägungen</w:t>
      </w:r>
    </w:p>
    <w:p>
      <w:r>
        <w:rPr>
          <w:b/>
        </w:rPr>
        <w:t>E. 1</w:t>
      </w:r>
    </w:p>
    <w:p>
      <w:r>
        <w:t>Angefochten ist ein kantonal letztinstanzlicher Entscheid über die Regelung der Obhut und des Besuchsrechts; die Beschwerde in Zivilsachen steht offen ( Art. 72 Abs. 1, Art. 75 Abs. 1 und Art. 90 BGG ). Der Anfechtungsgegenstand ist indes durch das begrenzt, was im angefochtenen Entscheid beurteilt wurde. Soweit geltend gemacht wird, Art. 174 StGB sei verletzt, weil der KESB-Entscheid und der obergerichtliche Entscheid durch Falschaussagen Dritter zustande gekommen sei, kann auf die Beschwerde von vornherein nicht eingetreten werden, zumal das Bundesgericht nicht für die Entgegennahme von Strafanzeigen zuständig ist.</w:t>
      </w:r>
    </w:p>
    <w:p>
      <w:r>
        <w:rPr>
          <w:b/>
        </w:rPr>
        <w:t>E. 2</w:t>
      </w:r>
    </w:p>
    <w:p>
      <w:r>
        <w:t>Die Beschwerde hat ein Rechtsbegehren zur Sache zu enthalten ( Art. 42 Abs. 1 BGG ). Ein solches fehlt und den allgemeinen Äusserungen in der Beschwerdebegründung lässt sich auch nicht klar entnehmen, in welcher konkreten Weise die Beschwerdeführerin den angefochtenen Entscheid abgeändert haben will. Bereits daran scheitert die Beschwerde. Ohnehin mangelt es aber auch an einer hinreichenden Beschwerdebegründung (dazu nachfolgend).</w:t>
      </w:r>
    </w:p>
    <w:p>
      <w:r>
        <w:rPr>
          <w:b/>
        </w:rPr>
        <w:t>E. 3</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4</w:t>
      </w:r>
    </w:p>
    <w:p>
      <w:r>
        <w:t>Das Obergericht hat seinen Entscheid ausführlich begründet. Kernerwägung ist, dass es in den vergangenen Jahren immer wieder zu Gefährdungsmeldungen und Polizeieinsätzen sowie einer fürsorgerischen Unterbringung der Mutter gekommen sei. In allen Meldungen sei u.a. auf deren Alkoholproblem hingewiesen worden, wobei sie betreffend ihre Sucht weitgehend uneinsichtig sei. Diese Situation habe zu einer grossen Anspannung und Belastung für das Kind geführt, welches sich immer wieder Sorgen um seine Mutter habe machen müssen, was für einen 9-Jährigen untragbar sei. Ein Verbleib bei der Mutter sei unter den gegebenen Umständen nicht mehr möglich gewesen. Der Vater sei bereit, die Obhut für den Sohn zu übernehmen. Auch wenn den Akten vereinzelte Hinweise entnommen werden könnten, wonach er in der Vergangenheit weniger Interesse am Sohn bezeigt habe, scheine sich die Situation mittlerweile verändert zu haben. Konkrete Hinweise auf eine eingeschränkte Erziehungs- oder Betreuungsfähigkeit würden nicht vorliegen. Weitere Massnahmen wie etwa die Durchführung eines Multitests würden nicht als erforderlich erscheinen. Ferner sei auch der mehrfach und über einen längeren Zeitraum geäusserte Wunsch des Kindes zu berücksichtigen, zukünftig bei seinem Vater zu wohnen, und er habe sich diesbezüglich über den KESB-Entscheid erfreut gezeigt. Dass er sich gegenüber der Mutter möglicherweise anders geäussert haben könnte, wäre aus kindlicher Perspektive nachvollziehbar.</w:t>
      </w:r>
    </w:p>
    <w:p>
      <w:r>
        <w:rPr>
          <w:b/>
        </w:rPr>
        <w:t>E. 5</w:t>
      </w:r>
    </w:p>
    <w:p>
      <w:r>
        <w:t>Die Beschwerdeführerin setzt sich mit den Erwägungen des 19-seitigen angefochtenen Entscheides nicht in sachgerichteter Weise auseinander. Insbesondere äussert sie sich mit keinem Wort zum Kernelement, dass die Situation bei ihr selbst für das Kind untragbar ist und das Kindeswohl eine Umplatzierung erfordert. Sie macht primär geltend, C.________ sei alt genug, um sich eine eigene Meinung zu bilden. Dessen Wunsch ging aber nach den nicht mit Willkürrügen angefochtenen beweiswürdigenden Feststellungen des angefochtenen Entscheides gerade dahin, dass er beim Vater leben möchte. Ferner wird namentlich moniert, dass Aktennotizen der KESB vor dem 23. August 2019 komplett fehlen würden. Zwar erfolgt dies unter der Überschrift "Willkürverbot", aber die Beschwerdeführerin zeigt nicht auf, dass sie dies bereits im obergerichtlichen Verfahren geltend gemacht hätte und inwiefern dies für den heutigen Obhutsentscheid relevant sein könnte. In Bezug auf die Erziehungsfähigkeit des Vaters hat das Obergericht beweiswürdigend festgestellt, es bestünden heute keine Anzeichen für eine mögliche Einschränkung, was die Beschwerdeführerin nicht mit substanziierten Willkürrügen anficht.</w:t>
      </w:r>
    </w:p>
    <w:p>
      <w:r>
        <w:rPr>
          <w:b/>
        </w:rPr>
        <w:t>E. 6</w:t>
      </w:r>
    </w:p>
    <w:p>
      <w:r>
        <w:t>Nach dem Gesagten erweist sich die Beschwerde als offensichtlich nicht hinreichend begründet, weshalb auf sie nicht eingetreten werden kann und der Präsident im vereinfachten Verfahren entscheidet ( Art. 108 Abs. 1 lit. b BGG ).</w:t>
      </w:r>
    </w:p>
    <w:p>
      <w:r>
        <w:rPr>
          <w:b/>
        </w:rPr>
        <w:t>E. 7</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