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5A_191/2019 vom 26. Juli 2019</w:t>
      </w:r>
    </w:p>
    <w:p>
      <w:r>
        <w:t>Bundesgericht, 2019-07-26, DE</w:t>
      </w:r>
    </w:p>
    <w:p>
      <w:r>
        <w:rPr>
          <w:b/>
        </w:rPr>
        <w:t xml:space="preserve">Quelle: </w:t>
      </w:r>
      <w:r>
        <w:t>https://mcp.opencaselaw.ch/entscheid/bger_5A_191_2019</w:t>
      </w:r>
    </w:p>
    <w:p>
      <w:r>
        <w:t>FR: TF 5A_191/2019 du 26 juillet 2019</w:t>
      </w:r>
    </w:p>
    <w:p>
      <w:r>
        <w:t>IT: TF 5A_191/2019 del 26 luglio 2019</w:t>
      </w:r>
    </w:p>
    <w:p>
      <w:pPr>
        <w:pStyle w:val="Heading2"/>
      </w:pPr>
      <w:r>
        <w:t>Erwägungen</w:t>
      </w:r>
    </w:p>
    <w:p>
      <w:r>
        <w:rPr>
          <w:b/>
        </w:rPr>
        <w:t>E. 1</w:t>
      </w:r>
    </w:p>
    <w:p>
      <w:r>
        <w:t>Das Bundesgericht prüft von Amtes wegen und mit freier Kognition, ob eine Beschwerde zulässig ist ( BGE 144 II 184 E. 1; 143 III 140 E. 1).</w:t>
      </w:r>
    </w:p>
    <w:p>
      <w:r>
        <w:rPr>
          <w:b/>
        </w:rPr>
        <w:t>E. 1.1</w:t>
      </w:r>
    </w:p>
    <w:p>
      <w:r>
        <w:t>Angefochten ist der Entscheid eines oberen kantonalen Gerichts, das als Rechtsmittelinstanz ( Art. 75 BGG ) über vorsorgliche Massnahmen für die Dauer des Verfahrens auf Abänderung eines Scheidungsurteils entschieden hat. Hierbei handelt es sich nach der Rechtsprechung um einen Zwischenentscheid nach Art. 93 BGG ( BGE 130 I 347 E. 3.2; zuletzt etwa Urteil 5A_39/2019 vom 9. Mai 2019 E. 1.1) Daran ändert nichts, dass das Kantonsgericht vorliegend auch über die (örtliche) Zuständigkeit der Vorinstanzen befand. Es liegt deswegen kein Zwischenentscheid über die Zuständigkeit nach Art. 92 BGG vor (vgl. BGE 144 III 475 E. 1.1; Urteil 5A_973/2017 vom 4. Juni 2019 E 1.1). Abgesehen von dem hier nicht einschlägigen Fall von Art. 93 Abs. 1 Bst. b BGG ist die Beschwerde daher nur zulässig, wenn der angefochtene Entscheid einen nicht wieder gutzumachenden Nachteil bewirken kann (Art. 93 Abs. 1 Bst. a BGG). Dieser Nachteil muss rechtlicher Natur sein ( BGE 138 III 333 E. 1.3.1). Nicht wieder gutzumachend ist der Nachteil nur, wenn er sich auch mit einem späteren günstigen Endentscheid nicht oder nicht gänzlich beseitigen lässt. Die blosse Möglichkeit eines nicht wieder gutzumachenden Nachteils genügt ( BGE 142 III 798 E. 2.2; 141 III 395 E. 2.5). Vorbehältlich offensichtlicher Fälle obliegt es der Beschwerde führenden Partei im Einzelnen darzutun, dass die Voraussetzung von Art. 93 Abs. 1 Bst. a BGG erfüllt ist, ansonsten auf die Beschwerde mangels hinreichender Begründung nicht einzutreten ist ( BGE 142 III 798 E. 2.2; 141 III 80 E. 1.2; 137 III 324 E. 1.1).</w:t>
      </w:r>
    </w:p>
    <w:p>
      <w:r>
        <w:rPr>
          <w:b/>
        </w:rPr>
        <w:t>E. 1.2</w:t>
      </w:r>
    </w:p>
    <w:p>
      <w:r>
        <w:t>Der Beschwerdeführer äussert sich nicht zur Frage des nicht wieder gutzumachenden Nachteils. Auch sinngemäss oder in anderem als dem Eintretenszusammenhang lässt sich der Beschwerdeschrift hierzu nichts entnehmen. Vor Bundesgericht bestreitet der Beschwerdeführer denn auch allein die örtliche Zuständigkeit der Vorinstanzen zum Erlass der strittigen Massnahme und äussert sich inhaltlich nicht zu dieser. Auch wenn in Konstellationen wie der vorliegenden in der Regel von einem drohenden nicht wieder gutzumachenden Nachteil ausgegangen wird (vgl. etwa Urteil 5A_960/2016 vom 24. April 2017 E. 1.1), besteht für das Bundesgericht unter diesen Umständen kein Anlass, von den üblicherweise an die Beschwerde in Zivilsachen zu stellenden minimalen Begründungserfordernissen abzuweichen. Auf die Beschwerde ist daher nicht einzutreten.</w:t>
      </w:r>
    </w:p>
    <w:p>
      <w:r>
        <w:rPr>
          <w:b/>
        </w:rPr>
        <w:t>E. 2</w:t>
      </w:r>
    </w:p>
    <w:p>
      <w:r>
        <w:t>Bei diesem Ausgang des Verfahrens sind die Gerichtskosten dem Beschwerdeführer aufzuerlegen ( Art. 66 Abs. 1 BGG ). Der obsiegenden Beschwerdegegnerin sind mangels Einholens einer Vernehmlassung keine ersatzpflichtigen Kosten entstanden, sodass keine Parteientschädigung zu 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