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189/2019 vom 8. März 2019</w:t>
      </w:r>
    </w:p>
    <w:p>
      <w:r>
        <w:t>Bundesgericht, 2019-03-08, DE</w:t>
      </w:r>
    </w:p>
    <w:p>
      <w:r>
        <w:rPr>
          <w:b/>
        </w:rPr>
        <w:t xml:space="preserve">Quelle: </w:t>
      </w:r>
      <w:r>
        <w:t>https://mcp.opencaselaw.ch/entscheid/bger_5A_189_2019</w:t>
      </w:r>
    </w:p>
    <w:p>
      <w:r>
        <w:t>FR: TF 5A 189/2019 du 8 mars 2019</w:t>
      </w:r>
    </w:p>
    <w:p>
      <w:r>
        <w:t>IT: TF 5A 189/2019 del 8 marzo 2019</w:t>
      </w:r>
    </w:p>
    <w:p>
      <w:pPr>
        <w:pStyle w:val="Heading2"/>
      </w:pPr>
      <w:r>
        <w:t>Regeste</w:t>
      </w:r>
    </w:p>
    <w:p>
      <w:r>
        <w:t>Vorladung in der Betreibung Nr. xxx | Schuldbetreibungs- und Konkursrecht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Inwiefern die Eingabe von einem eigentlichen Beschwerdewillen getragen ist (u.a. wird vorgebracht, es handle sich nicht um eine formgerechte Beschwerde wider einschlägige Beschlüsse, sondern lediglich um die rituelle Entleerung des staatstragenden Briefkastens), kann dahingestellt bleiben, weil ohnehin unter keinem Titel darauf eingetreten werden kann: Die Beschwerde scheitert bereits daran, dass es an einem tauglichen Rechtsbegehren mangelt, soweit sich der Beschwerdeführer gegen den angefochtenen Entscheid richtet, denn er verlangt einzig, "die Nichtigkeit des einschlägigen Materials sei jederzeit und von Amtes wegen zu beachten". Sodann setzt er sich nicht ansatzweise mit dem angefochtenen Entscheid auseinander, weshalb die Beschwerde auch vollständig unbegründet bleibt. Was sodann die sinngemässen Ausstandsanliegen in Bezug auf das Obergericht und das Bundesgericht anbelangt, mangelt es ebenfalls an einer auch nur annähernd sachgerichteten Begründung: Hinsichtlich des Obergerichts ist die Rede davon, dass die Ausstandsgesuche und Begründungen im Sinn von Art. 151 ZPO archivfüllend als gerichtsnotorisch zu gelten hätten und der Vorsitzende der II. Zivilkammer mitsamt seinen mutmasslichen Komplizen gebeten werde, endlich den langerwarteten Entscheid selber zu fällen anstatt die vereinigte Gewaltenteilung mit der ehrlosen scheinbaren Existenz als Oberrichter zu belästigen. Hinsichtlich des Bundesgerichts wird vorgebracht, es stünden schmerzhafte Ausstandsverfahren im Sinn von Art. 37 Abs. 3 BGG an und die II. zivilrechtliche Abteilung vermöge in ihrer Gesamtheit dem Anspruch nach Art. 30 Abs. 1 BV nicht zu genügen.</w:t>
      </w:r>
    </w:p>
    <w:p>
      <w:r>
        <w:rPr>
          <w:b/>
        </w:rPr>
        <w:t>E. 3</w:t>
      </w:r>
    </w:p>
    <w:p>
      <w:r>
        <w:t>Auf die offensichtlich nicht hinreichend begründete und im Übrigen einmal mehr querulatorische Beschwerde ist im vereinfachten Verfahren nach Art. 108 Abs. 1 lit. b und c BGG nicht einzutreten.</w:t>
      </w:r>
    </w:p>
    <w:p>
      <w:r>
        <w:rPr>
          <w:b/>
        </w:rPr>
        <w:t>E. 4</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