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5A_188/2025 vom 4. Juni 2025</w:t>
      </w:r>
    </w:p>
    <w:p>
      <w:r>
        <w:t>Bundesgericht, 2025-06-04, FR</w:t>
      </w:r>
    </w:p>
    <w:p>
      <w:r>
        <w:rPr>
          <w:b/>
        </w:rPr>
        <w:t xml:space="preserve">Quelle: </w:t>
      </w:r>
      <w:r>
        <w:t>https://mcp.opencaselaw.ch/entscheid/bger_5A_188_2025</w:t>
      </w:r>
    </w:p>
    <w:p>
      <w:r>
        <w:t>FR: TF 5A_188/2025 du 4 juin 2025</w:t>
      </w:r>
    </w:p>
    <w:p>
      <w:r>
        <w:t>IT: TF 5A_188/2025 del 4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12 mars 2024, le Tribunal de première instance de Genève a prononcé le divorce des époux B.________ et A.________ (</w:t>
      </w:r>
    </w:p>
    <w:p>
      <w:r>
        <w:t>ch. 1 ), réglé les effets du divorce (</w:t>
      </w:r>
    </w:p>
    <w:p>
      <w:r>
        <w:t>ch. 2 - 23 ), statué sur les frais (</w:t>
      </w:r>
    </w:p>
    <w:p>
      <w:r>
        <w:t>ch. 24 - 26 ) et débouté les parties de toutes autres conclusions (</w:t>
      </w:r>
    </w:p>
    <w:p>
      <w:r>
        <w:t>ch. 27 ).</w:t>
      </w:r>
    </w:p>
    <w:p>
      <w:r>
        <w:rPr>
          <w:b/>
        </w:rPr>
        <w:t>E. 1.2</w:t>
      </w:r>
    </w:p>
    <w:p>
      <w:r>
        <w:t>Par arrêt du 16 janvier 2025, la Chambre civile de la Cour de justice du canton de Genève a déclaré irrecevable l'appel du mari.</w:t>
      </w:r>
    </w:p>
    <w:p>
      <w:r>
        <w:rPr>
          <w:b/>
        </w:rPr>
        <w:t>E. 2</w:t>
      </w:r>
    </w:p>
    <w:p>
      <w:r>
        <w:t>Par écriture expédiée le 3 mars 2025, A.________ forme un recours en matière civile au Tribunal fédéral contre l'arrêt cantonal.</w:t>
      </w:r>
    </w:p>
    <w:p>
      <w:r>
        <w:t>Des observations n'ont pas été requises.</w:t>
      </w:r>
    </w:p>
    <w:p>
      <w:r>
        <w:rPr>
          <w:b/>
        </w:rPr>
        <w:t>E. 3.1</w:t>
      </w:r>
    </w:p>
    <w:p>
      <w:r>
        <w:t>La présente écriture est traitée en tant que recours en matière civile au sens de l' art. 72 al. 1 LTF . Il apparaît superflu d'examiner les autres conditions de recevabilité, ce procédé étant voué à l'échec.</w:t>
      </w:r>
    </w:p>
    <w:p>
      <w:r>
        <w:rPr>
          <w:b/>
        </w:rPr>
        <w:t>E. 3.2</w:t>
      </w:r>
    </w:p>
    <w:p>
      <w:r>
        <w:t>L'autorité cantonale ayant déclaré irrecevable l'appel du recourant, les conclusions sur le fond (</w:t>
      </w:r>
    </w:p>
    <w:p>
      <w:r>
        <w:t>ch. 5 - 8 ) sont d'emblée irrecevables (arrêt 5A_309/2025 du 22 mai 2025 consid. 4 et les citations).</w:t>
      </w:r>
    </w:p>
    <w:p>
      <w:r>
        <w:rPr>
          <w:b/>
        </w:rPr>
        <w:t>E. 4.1</w:t>
      </w:r>
    </w:p>
    <w:p>
      <w:r>
        <w:t>En l'espèce, l'autorité précédente a retenu que l'appel était tardif, partant irrecevable; à titre subsidiaire, elle a considéré que, même en admettant qu'il ait été déposé en temps utile, il était de toute manière irrecevable, faute de répondre aux exigences minimales de motivation posées à l' art. 311 al. 1 CPC .</w:t>
      </w:r>
    </w:p>
    <w:p>
      <w:r>
        <w:rPr>
          <w:b/>
        </w:rPr>
        <w:t>E. 4.2</w:t>
      </w:r>
    </w:p>
    <w:p>
      <w:r>
        <w:t>L'arrêt attaqué se fonde sur deux motifs indépendants et suffisants pour sceller le sort de la cause; il incombe dès lors au recourant, sous peine d'irrecevabilité, de s'en prendre à chacun d'eux ( ATF 142 III 364 consid. 2.4 et les citations). Or, l'intéressé ne soulève pas le moindre grief contre le motif (d'irrecevabilité) pris de la motivation déficiente de son appel; en particulier, il ne prétend pas que la cour cantonale aurait violé l' art. 311 al. 1 CPC ( art. 42 al. 2 LTF ; ATF 140 III 86 consid. 2) ou appliqué cette disposition de façon excessivement formaliste ( art. 106 al. 2 LTF , en lien avec l' art. 29 al. 1 Cst. ; ATF 150 II 346 consid. 1.5.3 et les citations). Il s'ensuit que le recours est entièrement irrecevable, ce qui dispense de se prononcer sur les critiques dirigées à l'encontre du motif tiré de la tardiveté de l'appel ( ATF 135 III 608 consid. 4.6 et la jurisprudence citée).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