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5A_188/2020 vom 10. März 2020</w:t>
      </w:r>
    </w:p>
    <w:p>
      <w:r>
        <w:t>Bundesgericht, 2020-03-10, DE</w:t>
      </w:r>
    </w:p>
    <w:p>
      <w:r>
        <w:rPr>
          <w:b/>
        </w:rPr>
        <w:t xml:space="preserve">Quelle: </w:t>
      </w:r>
      <w:r>
        <w:t>https://mcp.opencaselaw.ch/entscheid/bger_5A_188_2020</w:t>
      </w:r>
    </w:p>
    <w:p>
      <w:r>
        <w:t>FR: TF 5A_188/2020 du 10 mars 2020</w:t>
      </w:r>
    </w:p>
    <w:p>
      <w:r>
        <w:t>IT: TF 5A_188/2020 del 10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 dem Hintergrund des Gesagten ist davon auszugehen, dass auch gegen die Verfügung vom 19. Februar 2020 eine Beschwerde erhoben sein soll.</w:t>
      </w:r>
    </w:p>
    <w:p>
      <w:r>
        <w:rPr>
          <w:b/>
        </w:rPr>
        <w:t>E. 2</w:t>
      </w:r>
    </w:p>
    <w:p>
      <w:r>
        <w:t>Allerdings finden sich in Bezug auf diese weder spezifische Rechtsbegehren noch spezifische Ausführungen, so dass die Beschwerde den an sie zu stellenden Voraussetzungen von Art. 42 Abs. 1 und 2 BGG nicht gerecht wird und mithin im vereinfachten Verfahren nach Art. 108 Abs. 1 lit. b BGG nicht auf sie einzutreten ist.</w:t>
      </w:r>
    </w:p>
    <w:p>
      <w:r>
        <w:rPr>
          <w:b/>
        </w:rPr>
        <w:t>E. 3</w:t>
      </w:r>
    </w:p>
    <w:p>
      <w:r>
        <w:t>Angesichts des Gesagten, namentlich der Unsicherheit, ob überhaupt eine zweite Beschwerde erhoben sein soll, ist im vorliegenden Verfahren auf eine separate Kostenerhebung zu verzichten ( Art. 66 Abs. 1 BGG ). Damit wäre ein allfällig auch für das vorliegende Verfahren gestelltes Gesuch um unentgeltliche Rechtspflege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