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5A_188/2016 vom 11. Oktober 2016</w:t>
      </w:r>
    </w:p>
    <w:p>
      <w:r>
        <w:t>Bundesgericht, 2016-10-11, IT</w:t>
      </w:r>
    </w:p>
    <w:p>
      <w:r>
        <w:rPr>
          <w:b/>
        </w:rPr>
        <w:t xml:space="preserve">Quelle: </w:t>
      </w:r>
      <w:r>
        <w:t>https://mcp.opencaselaw.ch/entscheid/bger_5A_188_2016</w:t>
      </w:r>
    </w:p>
    <w:p>
      <w:r>
        <w:t>FR: TF 5A_188/2016 du 11 octobre 2016</w:t>
      </w:r>
    </w:p>
    <w:p>
      <w:r>
        <w:t>IT: TF 5A_188/2016 del 11 ottobre 2016</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cantonale di ultima (unica) istanza ( art. 75 LTF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gravame introdotto dal ricorrente è ammissibile quale ricorso in materia civile. È di conseguenza irricevibile il ricorso sussidiario in materia costituzionale, che il ricorrente ha peraltro solamente evocato nel titolo del proprio ricorso e quale conclusione sussidiaria.</w:t>
      </w:r>
    </w:p>
    <w:p>
      <w:r>
        <w:rPr>
          <w:b/>
        </w:rPr>
        <w:t>E. 1.2</w:t>
      </w:r>
    </w:p>
    <w:p>
      <w:r>
        <w:t>Con il ricorso in materia civile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w:t>
      </w:r>
    </w:p>
    <w:p>
      <w:r>
        <w:rPr>
          <w:b/>
        </w:rPr>
        <w:t>E. 2</w:t>
      </w:r>
    </w:p>
    <w:p>
      <w:r>
        <w:t>Il ricorrente lamenta, in due contesti differenti, una violazione del suo diritto di essere sentito ( art. 29 cpv. 2 Cost. ). Il diritto di essere sentito è di natura formale. La sua violazione implica l'accoglimento del ricorso e l'annullamento della decisione impugnata, a prescindere dalle possibilità di successo nel merito. Tale censura deve pertanto essere esaminata in primo luogo ( DTF 137 I 195 consid. 2.2 con rinvio).</w:t>
      </w:r>
    </w:p>
    <w:p>
      <w:r>
        <w:rPr>
          <w:b/>
        </w:rPr>
        <w:t>E. 2.1</w:t>
      </w:r>
    </w:p>
    <w:p>
      <w:r>
        <w:t>Il ricorrente critica innanzitutto l'assenza di una qualsivoglia comunicazione da parte dell'UF in merito alle modifiche delle pretese revocatorie di cui ai nuovi punti 21a/b e 22 della circolare 5 novembre 2015 prima dell'invio della medesima. In proposito, il Tribunale di appello ha rilevato che il ricorrente con i suoi patrocinatori si era incontrato con l'ufficiale e il caposervizio in data 10 luglio 2015 per una verifica delle notifiche di credito e dell'inventario, che la bozza finale di quest'ultimo documento, comprensiva delle nuove pretese revocatorie, era stata consegnata al legale del ricorrente, e che l'inventario (immutato), depositato con la graduatoria modificata il 10 settembre 2015, era stato trasmesso un'altra volta al patrocinatore in data 11 settembre 2015. Il Tribunale di appello ha concluso che la censura sollevata era infondata, se non abusiva.</w:t>
      </w:r>
    </w:p>
    <w:p>
      <w:r>
        <w:t>Avanti al Tribunale federale, il ricorrente ammette di essere stato in possesso dei documenti topici, ma afferma che gli stessi " non contemplassero assolutamente la forma e il nuovo contenuto delle pretese revocatorie menzionate nella circolare 5 novembre 2015". Manifestamente, questa censura non corrisponde a quella sollevata avanti all'autorità cantonale di vigilanza; nuova, essa è inammissibile ( art. 75 cpv. 1 LTF ). Essa lo è anche in considerazione del fatto che il ricorrente omette di spiegare, con la precisione che esige la LTF, in quale senso i documenti preventivamente ricevuti divergessero dalla successiva circolare ( art. 106 cpv. 2 LTF ; supra consid. 1.2).</w:t>
      </w:r>
    </w:p>
    <w:p>
      <w:r>
        <w:rPr>
          <w:b/>
        </w:rPr>
        <w:t>E. 2.2</w:t>
      </w:r>
    </w:p>
    <w:p>
      <w:r>
        <w:t>Il ricorrente censura in seguito che l'autorità di vigilanza non si sia espressa in merito alla sua contestazione "relativa alla quantificazione del valore delle 105 partecipazioni della società C.________"; a suo avviso, tale decisione avrebbe dovuto essere presa dall'insieme dei creditori. Egli non indica, tuttavia, in quale forma e circostanza egli abbia sottoposto questa censura all'autorità cantonale di vigilanza; neppure invoca egli una norma legale a suffragio della sua convinzione che avrebbe dovuto essere consultato prima della modifica del parametro citato.</w:t>
      </w:r>
    </w:p>
    <w:p>
      <w:r>
        <w:t>La seconda parte della censura, laddove il ricorrente lamenta che " una tale decisione " - non è chiaro quale - dovesse essere presa dall'insieme dei creditori, non concerne del tutto il suo diritto di essere sentito; priva di ogni e qualsiasi rinvio ad una base legale pretesa lesa, anche questa seconda parte della censura appare inammissibile sotto questo titolo.</w:t>
      </w:r>
    </w:p>
    <w:p>
      <w:r>
        <w:rPr>
          <w:b/>
        </w:rPr>
        <w:t>E. 2.3</w:t>
      </w:r>
    </w:p>
    <w:p>
      <w:r>
        <w:t>La censura di violazione del diritto di essere sentito è integralmente inammissibile.</w:t>
      </w:r>
    </w:p>
    <w:p>
      <w:r>
        <w:rPr>
          <w:b/>
        </w:rPr>
        <w:t>E. 3</w:t>
      </w:r>
    </w:p>
    <w:p>
      <w:r>
        <w:t>Sotto il titolo di accertamento dei fatti manifestamente inesatto, ossia arbitrario ai sensi dell' art. 9 Cost. , il ricorrente ripropone per l'essenziale la censura secondo la quale la formulazione delle pretese revocatorie di cui ai n. 21a/b e 22 della circolare 5 novembre 2015 non risulta " dagli inventari 30 luglio/11 agosto 2015 e 30 luglio/7 settembre 2015".</w:t>
      </w:r>
    </w:p>
    <w:p>
      <w:r>
        <w:rPr>
          <w:b/>
        </w:rPr>
        <w:t>E. 3.1</w:t>
      </w:r>
    </w:p>
    <w:p>
      <w:r>
        <w:t>Come già detto in precedenza (supra consid. 2.1), tale censura non corrisponde a quella sollevata avanti all'istanza inferiore. Peraltro, la motivazione che il ricorrente adduce è del tutto insufficiente anche nell'ottica della censura di accertamento arbitrario dei fatti. In particolare, egli non spiega in cosa consistano le pretese differenze di formulazione fra la circolare 5 novembre 2015 ed i documenti rimessigli in precedenza. Non è compito del Tribunale federale ipotizzare quale documento vada letto in contrapposizione con qual altro, cercare quelle che in astratto potrebbero apparire come formulazioni differenti, ed ancor meno formulare ipotesi sul significato che il ricorrente intendeva attribuire a tali differenze, ed infine schizzare soluzioni. La mera evocazione, da parte sua, di differenze nella formulazione non soddisfa le esigenze di motivazione. Altrettanto immotivata appare anche l'osservazione ricorsuale secondo la quale la sostituzione dei punti 1 e 7 della circolare 3 novembre 2014 con i punti 21a/b e 22 di quella del 5 novembre 2015 possa influire sui diritti e sulle pretese di tutti i creditori, avvantaggiandone alcuni e svantaggiandone altri: anche qui, il ricorso non permette di comprendere quali siano le modifiche suscettibili di migliorare rispettivamente peggiorare la posizione di quali creditori.</w:t>
      </w:r>
    </w:p>
    <w:p>
      <w:r>
        <w:rPr>
          <w:b/>
        </w:rPr>
        <w:t>E. 3.2</w:t>
      </w:r>
    </w:p>
    <w:p>
      <w:r>
        <w:t>Ne deriva che pure questa censura è inammissibile.</w:t>
      </w:r>
    </w:p>
    <w:p>
      <w:r>
        <w:rPr>
          <w:b/>
        </w:rPr>
        <w:t>E. 4</w:t>
      </w:r>
    </w:p>
    <w:p>
      <w:r>
        <w:t>In conclusione, il ricorso va dichiarato integralmente inammissibile. Tassa e spese giudiziarie sono poste a carico del ricorrente ( art. 66 cpv. 1 LTF ). Non sono dovute ripetibili, le parti opponenti Cantone Zurigo e Comune di X.________ essendosi opposte a torto alla concessione dell'effetto sospensivo al gravame, e non essendo esse state invitate a determinarsi sul merito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