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188/2007 vom 13. Juni 2007</w:t>
      </w:r>
    </w:p>
    <w:p>
      <w:r>
        <w:t>Bundesgericht, 2007-06-13, DE</w:t>
      </w:r>
    </w:p>
    <w:p>
      <w:r>
        <w:rPr>
          <w:b/>
        </w:rPr>
        <w:t xml:space="preserve">Quelle: </w:t>
      </w:r>
      <w:r>
        <w:t>https://mcp.opencaselaw.ch/entscheid/bger_5A_188_2007</w:t>
      </w:r>
    </w:p>
    <w:p>
      <w:r>
        <w:t>FR: TF 5A 188/2007 du 13 juin 2007</w:t>
      </w:r>
    </w:p>
    <w:p>
      <w:r>
        <w:t>IT: TF 5A 188/2007 del 13 giugno 2007</w:t>
      </w:r>
    </w:p>
    <w:p>
      <w:pPr>
        <w:pStyle w:val="Heading2"/>
      </w:pPr>
      <w:r>
        <w:t>Regeste</w:t>
      </w:r>
    </w:p>
    <w:p>
      <w:r>
        <w:t>Kindesschutzmassnahmen | Familienrecht</w:t>
      </w:r>
    </w:p>
    <w:p>
      <w:pPr>
        <w:pStyle w:val="Heading2"/>
      </w:pPr>
      <w:r>
        <w:t>Erwägungen</w:t>
      </w:r>
    </w:p>
    <w:p>
      <w:r>
        <w:rPr>
          <w:b/>
        </w:rPr>
        <w:t>E. 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2</w:t>
      </w:r>
    </w:p>
    <w:p>
      <w:r>
        <w:t>Im vorliegenden Fall geht es um eine Kindesschutzmassnahme, mithin um eine Zivilsache ( Art. 72 Abs. 2 Ziff. 7 BGG ) nicht vermögensrechtlicher Natur. Der angefochtene Entscheid ist ein letztinstanzlicher ( Art. 75 Abs. 1 BGG ) Endentscheid ( Art. 90 BGG ), so dass die Beschwerde in Zivilsachen grundsätzlich gegeben ist.</w:t>
      </w:r>
    </w:p>
    <w:p>
      <w:r>
        <w:rPr>
          <w:b/>
        </w:rPr>
        <w:t>E. 3</w:t>
      </w:r>
    </w:p>
    <w:p>
      <w:r>
        <w:t>Im vorliegenden Fall kann offen bleiben, ob die Beschwerdeführerin als Minderjährige überhaupt zur Beschwerde in Zivilsachen berechtigt ist. Wie sich aus der folgenden Erwägung ergibt, ist auf die Beschwerde aus einem anderen Grund nicht einzutreten.</w:t>
      </w:r>
    </w:p>
    <w:p>
      <w:r>
        <w:rPr>
          <w:b/>
        </w:rPr>
        <w:t>E. 4</w:t>
      </w:r>
    </w:p>
    <w:p>
      <w:r>
        <w:t>Zur Beschwerde ist nur berechtigt, wer ein rechtlich geschütztes Interesse an der Aufhebung oder Änderung des angefochtenen Entscheides hat ( Art. 76 Abs. 1 lit. b BGG ).</w:t>
      </w:r>
    </w:p>
    <w:p>
      <w:r>
        <w:rPr>
          <w:b/>
        </w:rPr>
        <w:t>E. 4.1</w:t>
      </w:r>
    </w:p>
    <w:p>
      <w:r>
        <w:t>Wie das Obergericht im angefochtenen Entscheid ausführt, befahl die Kammer für Vormundschaftswesen mit Präsidialverfügung vom 19. Februar 2007 eine dringliche Kindesschutzmassnahme ( Art. 392 Ziff. 3 und Art. 308 ZGB ) und wies damit die Vormundschaftsbehörde an, durch vorsorglich sofortige Präsidialverfügung für die Beschwerdeführerin eine Beistandschaft ( Art. 308 Abs. 2 ZGB ) anzuordnen und den einzusetzenden Beistand zu beauftragen, sie und die Kindesinteressen durch die dafür notwendigen oder sachdienlichen Anordnungen zu vertreten. Mit superprovisorischer Präsidialverfügung der Vormundschaftsbehörde vom 20. Februar 2007 wurde ein Beistand eingesetzt. Das mit der Präsidialverfügung der Vormundschaftsbehörde vom 20. Februar 2007 eingeleitete Kindesschutzverfahren ist nach Angaben des Obergerichts im angefochtenen Urteil noch hängig.</w:t>
      </w:r>
    </w:p>
    <w:p>
      <w:r>
        <w:rPr>
          <w:b/>
        </w:rPr>
        <w:t>E. 4.2</w:t>
      </w:r>
    </w:p>
    <w:p>
      <w:r>
        <w:t>Die Mutter der Beschwerdeführerin hat beim Gerichtspräsidium A.________ gestützt auf das Übereinkommen über die zivilrechtlichen Aspekte internationaler Kindesentführung (HEntfÜ; SR 0.211.230.02) ein Verfahren auf Rückführung der Beschwerdeführerin nach Brasilien eingeleitet. Ist den Gerichten oder den Verwaltungsbehörden des Vertragsstaates, in den das Kind verbracht oder in dem es zurückgehalten wird, das widerrechtliche Verbringen oder Zurückhalten des Kindes im Sinn des Artikels 3 des Übereinkommens mitgeteilt worden, so dürfen sie keine Sachentscheidung über das Sorgerecht treffen, solange nicht entschieden ist, dass das Kind aufgrund dieses Übereinkommens nicht zurückzugeben ist, oder sofern innerhalb angemessener Frist nach der Mitteilung kein Antrag nach dem Übereinkommen gestellt wird (Art. 16 des Übereinkommens). Die Mitteilung des Verbringens oder Zurückhaltens an die Gerichte oder Behörden eines Staates bewirkt, dass in einem dort anhängigen Sorgerechtsverfahren keine Sachentscheidung über das Sorgerecht mehr ergehen darf. Ein hängiges Verfahren ist zumindest auszusetzen; ein neues Sorgerechtsverfahren darf nicht mehr eingeleitet werden (Staudinger/Pirrung, Kommentar zum BGB, 13. Aufl. 1994, Vorbemerkungen zu Art. 19 EGBGB, Rz. 692). Das Übereinkommen schliesst indes dringliche Kindesschutzmassnahmen nicht aus, für die nach Art. 315a Abs. 3 Ziff. 2 ZGB die Vormundschaftsbehörde zuständig ist, es sei denn, das mit der Rückführungsklage befasste Gericht wäre hierfür zuständig, was von der kantonalen Gerichtsorganisation abhängt.</w:t>
      </w:r>
    </w:p>
    <w:p>
      <w:r>
        <w:rPr>
          <w:b/>
        </w:rPr>
        <w:t>E. 4.3</w:t>
      </w:r>
    </w:p>
    <w:p>
      <w:r>
        <w:t>Hat aber die Vormundschaftsbehörde das Kindesschutzverfahren, für welches sie sich ursprünglich als örtlich unzuständig erachtete, inzwischen eingeleitet und ist dieses Verfahren nach den Feststellungen des angefochtenen Entscheides noch hängig, fehlt es der Beschwerdeführerin am rechtlich geschützten Interesse an der Behandlung des vor Bundesgericht mit der vorliegenden Beschwerde gestellten Begehrens um Aufhebung des Entscheides des Obergerichts vom 12. März 2007 und um Rückweisung der Sache an die Vormundschaftsbehörde mit der Auflage, geeignete Kindesschutzmassnahmen zu ergreifen. Auf die Beschwerde ist nicht einzutreten.</w:t>
      </w:r>
    </w:p>
    <w:p>
      <w:r>
        <w:rPr>
          <w:b/>
        </w:rPr>
        <w:t>E. 5</w:t>
      </w:r>
    </w:p>
    <w:p>
      <w:r>
        <w:t>Die Anwältin der Beschwerdeführerin hat das vorliegende Verfahren und die damit verbundenen Kosten unnötig verursacht. Es wäre vermeidbar gewesen, wird doch das hängige Kindesschutzverfahren im angefochtenen Entscheid ausdrücklich erwähnt. Aus diesen Gründen sind die Kosten des vorliegenden Verfahrens ihr aufzuerlegen ( Art. 66 Abs. 3 BGG ).</w:t>
      </w:r>
    </w:p>
    <w:p>
      <w:r>
        <w:rPr>
          <w:b/>
        </w:rPr>
        <w:t>E. 6</w:t>
      </w:r>
    </w:p>
    <w:p>
      <w:r>
        <w:t>Die Beschwerde hat sich als von vornherein aussichtslos erwiesen; das Gesuch der Beschwerdeführerin um unentgeltliche Rechtspflege für das bundesgerichtliche Verfahren ist somit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