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5A_187/2019 vom 24. April 2019</w:t>
      </w:r>
    </w:p>
    <w:p>
      <w:r>
        <w:t>Bundesgericht, 2019-04-24, FR</w:t>
      </w:r>
    </w:p>
    <w:p>
      <w:r>
        <w:rPr>
          <w:b/>
        </w:rPr>
        <w:t xml:space="preserve">Quelle: </w:t>
      </w:r>
      <w:r>
        <w:t>https://mcp.opencaselaw.ch/entscheid/bger_5A_187_2019</w:t>
      </w:r>
    </w:p>
    <w:p>
      <w:r>
        <w:t>FR: TF 5A_187/2019 du 24 avril 2019</w:t>
      </w:r>
    </w:p>
    <w:p>
      <w:r>
        <w:t>IT: TF 5A_187/2019 del 24 aprile 2019</w:t>
      </w:r>
    </w:p>
    <w:p>
      <w:pPr>
        <w:pStyle w:val="Heading2"/>
      </w:pPr>
      <w:r>
        <w:t>Erwägungen</w:t>
      </w:r>
    </w:p>
    <w:p>
      <w:r>
        <w:rPr>
          <w:b/>
        </w:rPr>
        <w:t>E. 1</w:t>
      </w:r>
    </w:p>
    <w:p>
      <w:r>
        <w:t>La décision entreprise est une décision finale ( art. 90 LTF ), qui concerne la protection contre la violence domestique, laquelle fait partie de la personnalité réglée aux art. 28 à 28l CC (cf. Message du 11 octobre 2017 concernant la loi fédérale sur l'amélioration de la protection des victimes de violence, FF 2017 6925). Expressément fondée sur l' art. 28b al. 2 CC , elle est donc sujette au recours en matière civile ( art. 72 al. 1 LTF ), étant précisé que l'intitulé erroné d'un recours ne nuit pas à son auteur, pour autant que les conditions de recevabilité du recours qui aurait dû être déposé soient réunies (notamment: ATF 136 II 489 consid. 2.1).</w:t>
      </w:r>
    </w:p>
    <w:p>
      <w:r>
        <w:t>Le recours a par ailleurs été déposé en temps utile ( art. 100 al. 1 LTF ) contre une décision rendue par une juridiction ayant statué sur recours en dernière instance cantonale ( art. 75 al. 1 et 2 LTF ), dans une cause non pécuniaire.</w:t>
      </w:r>
    </w:p>
    <w:p>
      <w:r>
        <w:rPr>
          <w:b/>
        </w:rPr>
        <w:t>E. 2.1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Cet intérêt doit être actuel et pratique, c'est-à-dire qu'il doit exister non seulement au moment du dépôt du recours, mais encore au moment où l'arrêt est rendu ( ATF 137 I 296 consid. 4.2; 137 II 40 consid. 2.1). Inspiré du souci de l'économie de la procédure, cette exigence vise à garantir que celui-ci se prononce sur des questions concrètes et non pas simplement théoriques; aussi l'intérêt actuel requis fera-t-il défaut, en général, lorsque la décision attaquée a été exécutée ou est devenue sans objet ( ATF 125 I 394 consid. 4a) ou encore lorsque l'admission du recours ne permettrait pas la réparation du préjudice subi (cf. ATF 127 III 41 consid. 2b; 125 II 86 consid. 5b et les références).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 ATF 131 II 670 consid. 1.2; 127 I 164 consid. 1a et les références).</w:t>
      </w:r>
    </w:p>
    <w:p>
      <w:r>
        <w:t>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133 II 353 consid. 1).</w:t>
      </w:r>
    </w:p>
    <w:p>
      <w:r>
        <w:t>Le Tribunal fédéral déclare le recours irrecevable lorsque l'intérêt digne de protection fait défaut au moment du dépôt du recours. En revanche, si cet intérêt disparaît en cours de procédure, le recours devient sans objet ( ATF 142 I 135 consid. 1.3.1; 139 I 206 consid. 1.1; 137 I 23 consid. 1.3.1 et les références).</w:t>
      </w:r>
    </w:p>
    <w:p>
      <w:r>
        <w:rPr>
          <w:b/>
        </w:rPr>
        <w:t>E. 2.2</w:t>
      </w:r>
    </w:p>
    <w:p>
      <w:r>
        <w:t>En l'espèce, la mesure litigieuse a cessé de déployer ses effets depuis le 4 décembre 2018, si bien que l'intérêt du recourant à l'admission de son recours avait déjà disparu avant le dépôt de celui-ci. Les explications fournies dans les écritures de recours ne permettent à l'évidence pas de considérer qu'il faudrait ici faire exception à l'exigence d'un intérêt actuel et pratique. Pour toute motivation, le recourant se borne en effet à alléguer que l'arrêt querellé a été invoqué, respectivement déposé, dans le cadre de deux procédures parallèles qui le divisent d'avec l'intimée et qu'il existe un risque qu'il passe " pour un père abusif par rapport à sa compagne ". Ce faisant, le recourant perd de vue l'objet de la décision d'expulsion qu'il souhaite voir confirmée. Or, celle-ci n'est pas dirigée contre lui, mais touche la situation juridique de l'intimée. Il s'ensuit que le recourant - qui ne l'invoque au demeurant pas expressément - ne saurait se prévaloir de l'exception à l'exigence d'un intérêt actuel, telle qu'elle a été réservée plus haut (cf.</w:t>
      </w:r>
    </w:p>
    <w:p>
      <w:r>
        <w:t>supra consid. 2.1).</w:t>
      </w:r>
    </w:p>
    <w:p>
      <w:r>
        <w:t>Au vu de ce qui précède, il ne saurait être entré en matière sur le recours en tant que le recourant critique l'appréciation des preuves et fait valoir que la motivation cantonale n'est pas correcte d'un point de vue matériel.</w:t>
      </w:r>
    </w:p>
    <w:p>
      <w:r>
        <w:rPr>
          <w:b/>
        </w:rPr>
        <w:t>E. 3</w:t>
      </w:r>
    </w:p>
    <w:p>
      <w:r>
        <w:t>Le recourant se plaint également en substance de la violation de ses droits procéduraux, en tant que son avocate n'aurait pas reçu à tout le moins copie des " correspondances ", respectivement des " pièces ", qui lui avaient été directement adressées par le Tribunal cantonal, alors que le mandat conféré à son avocate était connu de cette autorité depuis le 29 novembre 2018. Il faut ainsi admettre qu'il fait valoir un droit qui lui est propre et digne de protection à l'annulation ou à la modification de la décision querellée ( art. 76 al. 1 let. b LTF ) et, dans cette mesure, qu'il est légitimé à recourir au Tribunal fédéral ( ATF 136 IV 29 consid. 1.9, 41 consid. 1.4 et les références). Cela étant, force est de constater que le grief est insuffisamment motivé. Le recourant se borne en effet à invoquer une prétendue violation des " us et coutumes de la profession " et à alléguer que, " peu au fait des arcanes judiciaires ", il n'avait - sans que l'on puisse " retenir une négligence de sa part " - pas " réagi au document transmis ", " pensant à tort que cette procédure ne le concernait pas ". Il ne fait notamment valoir aucune violation du droit d'être entendu ( art. 29 al. 2 Cst. ), de sorte qu'il n'y a pas lieu d'entrer plus avant sur ces critiques ( art. 106 al. 2 LTF ).</w:t>
      </w:r>
    </w:p>
    <w:p>
      <w:r>
        <w:rPr>
          <w:b/>
        </w:rPr>
        <w:t>E. 4</w:t>
      </w:r>
    </w:p>
    <w:p>
      <w:r>
        <w:t>En définitive, le recours est irrecevable, aux frais de son auteur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