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186/2022 vom 28. April 2022</w:t>
      </w:r>
    </w:p>
    <w:p>
      <w:r>
        <w:t>Bundesgericht, 2022-04-28, FR</w:t>
      </w:r>
    </w:p>
    <w:p>
      <w:r>
        <w:rPr>
          <w:b/>
        </w:rPr>
        <w:t xml:space="preserve">Quelle: </w:t>
      </w:r>
      <w:r>
        <w:t>https://mcp.opencaselaw.ch/entscheid/bger_5A_186_2022</w:t>
      </w:r>
    </w:p>
    <w:p>
      <w:r>
        <w:t>FR: TF 5A 186/2022 du 28 avril 2022</w:t>
      </w:r>
    </w:p>
    <w:p>
      <w:r>
        <w:t>IT: TF 5A 186/2022 del 28 aprile 2022</w:t>
      </w:r>
    </w:p>
    <w:p>
      <w:pPr>
        <w:pStyle w:val="Heading2"/>
      </w:pPr>
      <w:r>
        <w:t>Regeste</w:t>
      </w:r>
    </w:p>
    <w:p>
      <w:r>
        <w:t>mesures protectrices de l'union conjugale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non-pécuniaire dans son ensemble (art. 51 al. 1 let. a et al. 4 et 74 al. 1 let. b LTF). La recourante a participé à la procédure devant l'autorité précédente et a un intérêt digne de protection à la modification ou l'annulation de la décision entreprise ( art. 76 al. 1 let. a et b LTF ). Le recours est donc en principe recevable du chef des dispositions qui précèdent.</w:t>
      </w:r>
    </w:p>
    <w:p>
      <w:r>
        <w:rPr>
          <w:b/>
        </w:rPr>
        <w:t>E. 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5A_949/2021 du 13 décembre 2021 consid. 3;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En l'espèce, la recourante prend à l'appui de son recours, principalement, une conclusion cassatoire et, subsidiairement, des conclusions en renvoi et en paiement d'un arriéré d'entretien. Dès lors que le litige porte sur les prérogatives parentales et le versement de contributions d'entretien, la recourante devait prendre des conclusions réformatoires, voire chiffrées. Par conséquent, la recevabilité du présent recours est douteuse pour ce motif, mais ce point peut souffrir de demeurer indécis, le recours étant de toute manière voué à l'échec.</w:t>
      </w:r>
    </w:p>
    <w:p>
      <w:r>
        <w:rPr>
          <w:b/>
        </w:rPr>
        <w:t>E. 3.1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Il résulte de ce qui précède que la " Chronologie et synthèse des faits ", ainsi que ses analyses des moyens de preuves, figurant en annexe du recours aux pages 23 à 47 du mémoire, sera ignorée en tant que les constatations de faits qui y sont exposées ne sont pas expressément visées par un grief d'arbitraire, s'écartent de ceux contenus dans l'arrêt attaqué et que la recourante n'invoque, ni a fortiori ne démontre, leur établissement arbitraire ou que leur correction influerait sur le sort de la cause.</w:t>
      </w:r>
    </w:p>
    <w:p>
      <w:r>
        <w:rPr>
          <w:b/>
        </w:rPr>
        <w:t>E. 4</w:t>
      </w:r>
    </w:p>
    <w:p>
      <w:r>
        <w:t>Le recours a pour objet la question de la garde alternée des enfants, et les conséquences pécuniaires du régime de garde sur les contributions d'entretien de ceux-ci. A titre liminaire, la recourante présente brièvement la notion d'arbitraire ( art. 9 Cst. ). Ensuite dans les parties 1 et 2 de son écriture, elle " analyse la valeur objective des pièces sur lesquelles la Cour de justice a fondé son jugement " et critique en conséquence l'établissement des faits. Dans la partie 3 de son mémoire, la recourante dénonce une mauvaise application du droit, estimant que la Cour de justice aurait omis de prendre en considération les critères essentiels dégagés par la jurisprudence en matière d'attribution de la garde des enfants. Enfin, dans une 4ème partie, la recourante requiert " l'application du barème de garde exclusive pour les contributions d'entretien des enfants ".</w:t>
      </w:r>
    </w:p>
    <w:p>
      <w:r>
        <w:rPr>
          <w:b/>
        </w:rPr>
        <w:t>E. 4.1</w:t>
      </w:r>
    </w:p>
    <w:p>
      <w:r>
        <w:t>L'autorité précédente a d'abord présenté les critères d'attribution des droits parentaux, puis relevé que les parents, tout en s'opposant sur la question de la garde, s'accordaient à dire que la situation prévalant au moment de l'appel consistant en une attribution exclusive à la mère sous réserve d'un droit de visite du père, n'était pas satisfaisante. La cour cantonale a retenu que les souhaits exprimés par les enfants devaient être appréciés avec la plus grande prudence compte tenu de l'important conflit de loyauté dans lequel ils étaient pris, que la situation des enfants ne cessait de se détériorer, que le déséquilibre du mode de garde contribuait de manière dangereuse à leur confusion et souffrance, qu'aucun intervenant ne s'était prononcé en défaveur de l'instauration d'une garde alternée, et que le père disposait de bonnes capacités parentales et souhaitait rester investi pour ses enfants en aménageant au besoin ses horaires pour être disponible pour eux. Aussi, malgré la communication parentale difficile et des dysfonctionnements ponctuels, les parties étaient capables d'échanger de manière suffisante pour assurer le passage des enfants et à respecter un cadre défini, en sorte que l'autorité précédente a jugé que l'intérêt supérieur des enfants commandait d'instaurer une garde alternée sur les enfants, partant, elle a confirmé le jugement de mesures protectrices de l'union conjugale sur ce point. S'agissant des contributions d'entretien des enfants, l'autorité précédente a jugé qu'au vu de l'absence de motivation de l'appel sur cet aspect, il ne serait pas entré en matière à ce propos.</w:t>
      </w:r>
    </w:p>
    <w:p>
      <w:r>
        <w:rPr>
          <w:b/>
        </w:rPr>
        <w:t>E. 4.2</w:t>
      </w:r>
    </w:p>
    <w:p>
      <w:r>
        <w:t>Lorsqu'elle doit statuer sur le régime de garde des enfants, l'autorité compétente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 5A_401/2021 du 3 mars 2022 consid. 3.1.2 et les références).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Pour apprécier les critères d'attribution des droits parentaux, le juge du fait, qui connaît le mieux les parties et le milieu dans lequel vit l'enfant, dispose d'un large pouvoir d'appréciation ( ATF 142 III 617 consid. 3.2.5 et les références; arrêt 5A_67/2021 précité consid. 2.2). Le Tribunal fédéral ne substituera ainsi qu'avec retenue sa propre appréciation à celle de la juridiction cantonale. Il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 arrêts 5A_67/2021 précité loc. cit .; 5A_793/2020 précité consid. 5.1.3).</w:t>
      </w:r>
    </w:p>
    <w:p>
      <w:r>
        <w:rPr>
          <w:b/>
        </w:rPr>
        <w:t>E. 4.3</w:t>
      </w:r>
    </w:p>
    <w:p>
      <w:r>
        <w:t>En l'occurrence, la recourante qui soulève un grief d'arbitraire décrit des faits qui auraient été omis ou pris erronément en considération par l'autorité précédente alors qu'ils ne seraient pas pertinents, en dressant à cet effet des tableaux de " valeur objective probante " des preuves administrées et en retranscrivant des témoignages qu'elle a recueillis en sa faveur. Ce faisant, elle se limite à substituer sa propre appréciation des preuves et sa version de la cause, sans démontrer - singulièrement au regard des exigences accrues de motivation des griefs de nature constitutionnelle ( art. 106 al. 2 LTF par renvoi de l' art. 98 LTF ; cf. supra consid. 3.1) - l'arbitraire de la décision entreprise, ni dans l'établissement des faits et l'appréciation des preuves, ni dans l'application du droit (cf. supra consid. 3.1 et 3.2). Au demeurant et au fond, le raisonnement de l'autorité précédente n'apparaît pas arbitraire ( art. 9 Cst. ) au regard de la jurisprudence développée et de la retenue dont le Tribunal fédéral fait preuve en la matière (cf. supra consid. 4.2). Outre que l'instauration de la garde alternée ne convient pas à la recourante et qu'elle cherche à obtenir la garde exclusive - ce qui ne constitue pas en soi un obstacle dirimant à l'instauration d'une garde alternée - la Cour de justice a soigneusement examiné les circonstances d'espèce et estimé, au stade de la vraisemblance, que ce régime de garde était dans l'intérêt supérieur des enfants au regard de tous les critères pertinents du cas d'espèce (cf. supra consid. 4.1).</w:t>
      </w:r>
    </w:p>
    <w:p>
      <w:r>
        <w:rPr>
          <w:b/>
        </w:rPr>
        <w:t>E. 4.4</w:t>
      </w:r>
    </w:p>
    <w:p>
      <w:r>
        <w:t>Quant à la critique relative aux montants des contributions d'entretien, l'autorité précédente n'a pas traité cet aspect, faute de motivation de l'appel (cf. supra consid. 4.1). Il s'ensuit que la critique doit être d'emblée écartée, faute d'épuisement matériel des instances (art. 75 al. 1 et 99 al. 1 LTF; ATF 145 III 42 consid. 2.2.2; ATF 143 III 290 consid. 1.1; arrêt 5A_694/2020 du 7 mai 2021 consid. 2.3).</w:t>
      </w:r>
    </w:p>
    <w:p>
      <w:r>
        <w:rPr>
          <w:b/>
        </w:rPr>
        <w:t>E. 5</w:t>
      </w:r>
    </w:p>
    <w:p>
      <w:r>
        <w:t>En conclusion, le recours, infondé dans la faible mesure où il est recevable, doit être rejeté, ce qui rend sans objet la requête d'effet suspensif. Les frais judiciaires, arrêtés à 1'500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