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5A_185/2020 vom 10. März 2020</w:t>
      </w:r>
    </w:p>
    <w:p>
      <w:r>
        <w:t>Bundesgericht, 2020-03-10, DE</w:t>
      </w:r>
    </w:p>
    <w:p>
      <w:r>
        <w:rPr>
          <w:b/>
        </w:rPr>
        <w:t xml:space="preserve">Quelle: </w:t>
      </w:r>
      <w:r>
        <w:t>https://mcp.opencaselaw.ch/entscheid/bger_5A_185_2020</w:t>
      </w:r>
    </w:p>
    <w:p>
      <w:r>
        <w:t>FR: TF 5A_185/2020 du 10 mars 2020</w:t>
      </w:r>
    </w:p>
    <w:p>
      <w:r>
        <w:t>IT: TF 5A_185/2020 del 10 marzo 2020</w:t>
      </w:r>
    </w:p>
    <w:p>
      <w:pPr>
        <w:pStyle w:val="Heading2"/>
      </w:pPr>
      <w:r>
        <w:t>Erwägungen</w:t>
      </w:r>
    </w:p>
    <w:p>
      <w:r>
        <w:rPr>
          <w:b/>
        </w:rPr>
        <w:t>E. 1</w:t>
      </w:r>
    </w:p>
    <w:p>
      <w:r>
        <w:t>Wie sich aus der Sendungsverfolgung ergibt und der Beschwerdeführer in seiner Eingabe selbst festhält, wurde ihm die angefochtene Verfügung am 31. Januar 2020 ausgehändigt. Sodann hält er fest, die Beschwerdefrist ende folglich am 2. März 2020. Dies trifft zu: Sie beträgt 30 Tage ( Art. 100 Abs. 1 BGG ), begann am 1. Februar 2020 zu laufen ( Art. 44 Abs. 1 BGG ), endete - weil der Februar im Jahr 2020 nicht 28, sondern 29 Tage zählt - am Sonntag, 1. März 2020 und verlängerte sich auf Montag, 2. März 2020 ( Art. 45 Abs. 1 BGG ). Indes wurde die Beschwerde erst am 6. März 2020 der Post übergeben (Eingang beim Bundesgericht am 9. März 2020). Sie ist somit verspätet.</w:t>
      </w:r>
    </w:p>
    <w:p>
      <w:r>
        <w:rPr>
          <w:b/>
        </w:rPr>
        <w:t>E. 2</w:t>
      </w:r>
    </w:p>
    <w:p>
      <w:r>
        <w:t>Nach dem Gesagten ist auf die Beschwerde im vereinfachten Verfahren nach Art. 108 Abs. 1 lit. a BGG nicht einzutreten.</w:t>
      </w:r>
    </w:p>
    <w:p>
      <w:r>
        <w:rPr>
          <w:b/>
        </w:rPr>
        <w:t>E. 3</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