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5A_184/2019 vom 6. März 2019</w:t>
      </w:r>
    </w:p>
    <w:p>
      <w:r>
        <w:t>Bundesgericht, 2019-03-06, DE</w:t>
      </w:r>
    </w:p>
    <w:p>
      <w:r>
        <w:rPr>
          <w:b/>
        </w:rPr>
        <w:t xml:space="preserve">Quelle: </w:t>
      </w:r>
      <w:r>
        <w:t>https://mcp.opencaselaw.ch/entscheid/bger_5A_184_2019</w:t>
      </w:r>
    </w:p>
    <w:p>
      <w:r>
        <w:t>FR: TF 5A_184/2019 du 6 mars 2019</w:t>
      </w:r>
    </w:p>
    <w:p>
      <w:r>
        <w:t>IT: TF 5A_184/2019 del 6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der Zustellung am 3. Januar 2019 begann die 30-tägige Beschwerdefrist von Art. 100 Abs. 1 BGG zu laufen und die am 4. März 2019 eingereichte Beschwerde erweist sich als verspätet.</w:t>
      </w:r>
    </w:p>
    <w:p>
      <w:r>
        <w:rPr>
          <w:b/>
        </w:rPr>
        <w:t>E. 2</w:t>
      </w:r>
    </w:p>
    <w:p>
      <w:r>
        <w:t>Im Übrigen könnte auch mangels Begründung nicht auf die Beschwerde eingetreten werden: In gedrängter Form ist darzulegen, inwiefern der angefochtene Entscheid Recht verletzt ( Art. 42 Abs. 2 BGG ), was eine Auseinandersetzung mit der Begründung des angefochtenen Entscheides erfordert ( BGE 140 III 115 E. 2 S. 116). Die Eingabe besteht jedoch lediglich aus zwei Zetteln; auf dem einen steht, dass die Anzeige gegen die KESB-Organisation zurückgezogen werde, und der andere enthält die nicht weiter ausgeführte Bitte, in Bezug auf die Beschwerdeführerin und in Bezug auf deren Mutter die Beistandschaft aufzulösen.</w:t>
      </w:r>
    </w:p>
    <w:p>
      <w:r>
        <w:rPr>
          <w:b/>
        </w:rPr>
        <w:t>E. 3</w:t>
      </w:r>
    </w:p>
    <w:p>
      <w:r>
        <w:t>Aufgrund des Gesagten ist auf die Beschwerde im vereinfachten Verfahren nach Art. 108 Abs. 1 lit. a und b BGG mit Präsidialentscheid nicht einzutreten.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