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183/2021 vom 9. März 2021</w:t>
      </w:r>
    </w:p>
    <w:p>
      <w:r>
        <w:t>Bundesgericht, 2021-03-09, DE</w:t>
      </w:r>
    </w:p>
    <w:p>
      <w:r>
        <w:rPr>
          <w:b/>
        </w:rPr>
        <w:t xml:space="preserve">Quelle: </w:t>
      </w:r>
      <w:r>
        <w:t>https://mcp.opencaselaw.ch/entscheid/bger_5A_183_2021</w:t>
      </w:r>
    </w:p>
    <w:p>
      <w:r>
        <w:t>FR: TF 5A 183/2021 du 9 mars 2021</w:t>
      </w:r>
    </w:p>
    <w:p>
      <w:r>
        <w:t>IT: TF 5A 183/2021 del 9 marzo 2021</w:t>
      </w:r>
    </w:p>
    <w:p>
      <w:pPr>
        <w:pStyle w:val="Heading2"/>
      </w:pPr>
      <w:r>
        <w:t>Regeste</w:t>
      </w:r>
    </w:p>
    <w:p>
      <w:r>
        <w:t>Anfechtung der Vaterschaftsvermutung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Soweit eine angebliche Nichtigkeit des erstinstanzlichen Entscheides vorgebracht wird, wurde dies nach den Erwägungen des angefochtenen Entscheides nicht begründet. Nachvollziehbare Ausführungen erfolgen auch vorliegend nicht, weshalb sich Weiterungen erübrigen.</w:t>
      </w:r>
    </w:p>
    <w:p>
      <w:r>
        <w:rPr>
          <w:b/>
        </w:rPr>
        <w:t>E. 3</w:t>
      </w:r>
    </w:p>
    <w:p>
      <w:r>
        <w:t>Im Zusammenhang mit der Kostenauferlegung geht zunächst das Argument an der Sache vorbei, die Parteien hätten die Anwendbarkeit des deutschen Rechtes erklärt. Es geht um ein Verfahren vor schweizerischen Gerichten; diese wenden als Prozessrecht die lex fori an, welche der Disposition der Parteien entzogen ist. An der Sache vorbei gehen sodann die weitschweifigen Ausführungen zur Eigentumsgarantie und anderen Grundrechten sowie die Aussage, eine Kostenauflage greife in den Kerngehalt ein. Die Kostenauflage beruht auf (im angefochtenen Entscheid näher bezeichneten) Normen der ZPO und damit auf einer formell-gesetzlichen Grundlage. In der Sache scheint der Beschwerdeführer wie schon vorinstanzlich sinngemäss geltend zu machen, es sei unbillig, dass er die Hälfte der Kosten tragen müsse, wo doch die Zeugung der Zwillinge in ehebrecherischer Weise erfolgt sei. Er setzt sich jedoch nicht mit der kantonsgerichtlichen Erwägung auseinander, wonach dies zutreffe, der Beschwerdeführer aber durch eine Unzahl von Rechtsbegehren und Weitläufigkeiten unnötige Kosten verursacht habe, die er gemäss Art. 108 ZPO zu tragen habe. Damit ist die Beschwerde diesbezüglich nicht hinreichend begründet, zumal die Behauptung, er habe aufgrund des Rechtes auf Kenntnis der eigenen Abstammung einen Anspruch, die näheren Umstände der Zeugung zu kennen (u.a. diesbezüglich ging das Kantonsgericht von unnötigen Weiterungen aus), an der Sache vorbeigeht, da nicht seine eigene Abstammung, sondern diejenige der erwiesenermassen nicht von ihm gezeugten Zwillinge zur Debatte steht. Nichts mit der Kostenverlegung zu tun haben sodann die Ausführungen, wonach die Ehegatten jahrelang eine umgekehrte Rollenverteilung gehabt hätten und es unbillig sei, wenn jetzt von ihm die Aufnahme einer Erwerbstätigkeit erwartet werde, was bei einer Frau bestimmt nicht der Fall wäre.</w:t>
      </w:r>
    </w:p>
    <w:p>
      <w:r>
        <w:rPr>
          <w:b/>
        </w:rPr>
        <w:t>E. 4</w:t>
      </w:r>
    </w:p>
    <w:p>
      <w:r>
        <w:t>Nicht weiter einzugehen ist auf die diffusen Ausführungen betreffend Befangenheit des Vorderrichters; zum einen wird kein betreffendes Rechtsbegehren gestellt, zum anderen bleibt die Begründung vage und wird kein konkreter Ausstandsgrund dargetan.</w:t>
      </w:r>
    </w:p>
    <w:p>
      <w:r>
        <w:rPr>
          <w:b/>
        </w:rPr>
        <w:t>E. 5</w:t>
      </w:r>
    </w:p>
    <w:p>
      <w:r>
        <w:t>Nach dem Gesagten ist die Beschwerde teils offensichtlich nicht zulässig und teils offensichtlich nicht hinreichend begründet, weshalb insgesamt im vereinfachten Verfahren nach Art. 108 Abs. 1 lit. a und b BGG nicht auf sie einzutreten ist.</w:t>
      </w:r>
    </w:p>
    <w:p>
      <w:r>
        <w:rPr>
          <w:b/>
        </w:rPr>
        <w:t>E. 6</w:t>
      </w:r>
    </w:p>
    <w:p>
      <w:r>
        <w:t>Mit dem sofortigen Entscheid in der Sache sind die Begehren um aufschiebende Wirkung und vorsorgliche Massnahmen gegenstandslos, sodass ihre potentielle Zulässigkeit offen bleiben kann.</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