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5A_183/2020 vom 6. September 2021</w:t>
      </w:r>
    </w:p>
    <w:p>
      <w:r>
        <w:t>Bundesgericht, 2021-09-06, FR</w:t>
      </w:r>
    </w:p>
    <w:p>
      <w:r>
        <w:rPr>
          <w:b/>
        </w:rPr>
        <w:t xml:space="preserve">Quelle: </w:t>
      </w:r>
      <w:r>
        <w:t>https://mcp.opencaselaw.ch/entscheid/bger_5A_183_2020</w:t>
      </w:r>
    </w:p>
    <w:p>
      <w:r>
        <w:t>FR: TF 5A_183/2020 du 6 septembre 2021</w:t>
      </w:r>
    </w:p>
    <w:p>
      <w:r>
        <w:t>IT: TF 5A_183/2020 del 6 settembre 2021</w:t>
      </w:r>
    </w:p>
    <w:p>
      <w:pPr>
        <w:pStyle w:val="Heading2"/>
      </w:pPr>
      <w:r>
        <w:t>Erwägungen</w:t>
      </w:r>
    </w:p>
    <w:p>
      <w:r>
        <w:rPr>
          <w:b/>
        </w:rPr>
        <w:t>E. 1</w:t>
      </w:r>
    </w:p>
    <w:p>
      <w:r>
        <w:t>Le recours a été introduit en temps utile ( art. 100 al. 1 LTF ), contre une décision finale ( art. 90 LTF ) rendue en matière civile ( art. 72 al. 1 LTF ), par une partie ayant succombé devant l'autorité cantonale de dernière instance (art. 75 al. 1 et 76 al. 1 LTF). La recourante est en droit d'agir seule et a à juste titre mis en cause tous ses cohéritiers comme intimés ( ATF 130 III 550 consid. 2.1.2). La valeur litigieuse requise est atteinte ( art. 74 al. 1 let. b LTF ). Le recours est recevable au regard des dispositions qui précèdent.</w:t>
      </w:r>
    </w:p>
    <w:p>
      <w:r>
        <w:rPr>
          <w:b/>
        </w:rPr>
        <w:t>E. 2.1</w:t>
      </w:r>
    </w:p>
    <w:p>
      <w:r>
        <w:t>Le recours en matière civile peut être formé pour violation du droit, tel qu'il est délimité par les art. 95 s. LTF. Le Tribunal fédéral applique le droit d'office ( art. 106 al. 1 LTF ). Cela étant, eu égard à l'exigence de motivation contenue à l' art. 42 al. 1 et 2 LTF , il n'examine en principe que les griefs soulevés; il n'est pas tenu de traiter, à l'instar d'une autorité de première instance, toutes les questions juridiques qui pourraient se poser, lorsque celles-ci ne sont plus discutées devant lui ( ATF 142 III 364 consid. 2.4 et les références). Le recourant doit par conséquent discuter les motifs de la décision entreprise et indiquer précisément en quoi il estime que l'autorité précédente a méconnu le droit ( ATF 142 I 99 consid. 1.7.1; 142 III 364 consid. 2.4 et la référence). Le Tribunal fédéral ne connaît par ailleurs de la violation de droits fondamentaux que si un tel grief a été expressément invoqué et motivé de façon claire et détaillée par le recourant (" principe d'allégation ", art. 106 al. 2 LTF ; ATF 142 II 369 consid. 2.1; 142 III 364 consid. 2.4).</w:t>
      </w:r>
    </w:p>
    <w:p>
      <w:r>
        <w:rPr>
          <w:b/>
        </w:rPr>
        <w:t>E. 3</w:t>
      </w:r>
    </w:p>
    <w:p>
      <w:r>
        <w:t>Dans un grief d'ordre formel qu'il convient d'examiner en premier lieu, la recourante fait valoir la violation de son droit d'être entendue ( art. 29 al. 2 Cst. ), en tant que la cour cantonale n'aurait pas analysé du tout, respectivement pas fourni de motivation s'agissant du grief tiré de la violation de l' art. 602 CC qu'elle avait soulevé dans son mémoire d'appel en p. 12 à 14. Or, l'application de l' art. 602 CC aurait dû selon elle conduire à retenir que B.B.________ était tenu de restituer l'intégralité des actifs dont il avait eu l'usage exclusif ensuite du décès de son père (soit, après déduction de la somme qu'il avait partiellement restituée, un montant de 310'286 fr.), respectivement de répondre de leur perte, et ceci que l'on retienne ou non l'existence d'un mandat entre les membres de la communauté héréditaire de B.B.________.</w:t>
      </w:r>
    </w:p>
    <w:p>
      <w:r>
        <w:rPr>
          <w:b/>
        </w:rPr>
        <w:t>E. 3.1</w:t>
      </w:r>
    </w:p>
    <w:p>
      <w:r>
        <w:t>Selon la jurisprudence, commet un déni de justice formel proscrit par l' art. 29 al. 1 Cst. l'autorité qui ne traite pas un grief relevant de sa compétence, motivé de façon suffisante et pertinent pour l'issue du litige ( ATF 142 II 154 consid. 4.2; 141 V 557 consid. 3.2.1; 135 I 6 consid. 2.1; arrêts 5A_1062/2019 du 16 avril 2020 consid. 4.1; 5A_669/2019 du 7 février 2020 consid. 3.2; 5A_441/2019 du 25 octobre 2019 consid. 3.1). De même, la jurisprudence a déduit du droit d'être entendu de l' art. 29 al. 2 Cst. l'obligation pour l'autorité de motiver sa décision, afin que l'intéressé puisse se rendre compte de la portée de celle-ci et l'attaquer en connaissance de cause ( ATF 143 III 65 consid. 5.2; 142 I 135 consid. 2.1; 138 I 232 consid. 5.1; 136 V 351 consid. 4.2).</w:t>
      </w:r>
    </w:p>
    <w:p>
      <w:r>
        <w:rPr>
          <w:b/>
        </w:rPr>
        <w:t>E. 3.2</w:t>
      </w:r>
    </w:p>
    <w:p>
      <w:r>
        <w:t>En l'espèce, l'autorité cantonale a en substance considéré que B.B.________ avait fait usage de la procuration délivrée par les nus-propriétaires conjointement à l'usufruitière F.B.________ pour gérer les actifs de la succession de E.B.________ soumis à l'usufruit, celui-ci devant être qualifié d'usufruit de disposition. Elle a ensuite relevé que A.________ se prévalait, pour sa quote-part successorale dans le cadre du partage, d'une prétention en responsabilité civile contre B.B.________ sur la base de ce contrat de mandat, et jugé que la responsabilité de B.B.________ n'était en l'occurrence pas établie à satisfaction. La Cour d'appel civile ne s'est cependant pas prononcée sur le grief soulevé par A.________ en lien avec l'application de l' art. 602 CC (p. 12-14 de l'appel). Comme le relève A.________ dans son recours fédéral, un grief de violation par le premier juge de l' art. 602 CC avait été soulevé dans le mémoire d'appel, dont il ressort en substance que B.B.________, de par sa seule qualité de cohéritier, qu'il ait ou non exercé la possession des avoirs en exécution d'un mandat, était tenu de les restituer dans le cadre du partage, cette obligation de restitution étant en outre imprescriptible tant que dure la communauté et devant être le cas échéant augmentée d'une indemnité. A teneur de l'appel, ce constat s'imposait d'ailleurs même dans l'hypothèse où une relation contractuelle avait été nouée avec le débiteur non par les héritiers, mais par l'usufruitière.</w:t>
      </w:r>
    </w:p>
    <w:p>
      <w:r>
        <w:t>Dans ses observations adressées à la Cour de céans, la cour cantonale indique avoir " implicitement rejeté le moyen tiré de l'application de l' art. 602 CC en retenant l'absence de dommage (consid. 3.2), respectivement de perte de jouissance (consid. 4) ". Or, au considérant 4 de son arrêt, il est indiqué ceci: " Pour le cas où la responsabilité de l'intimé B.B.________ sur la base du contrat de mandat confié selon procuration du 16 janvier 1982 serait niée, l'appelante soutient qu'elle serait en droit de se prévaloir d'une créance de F.B.________ contre l'intéressé correspondant à la différence de 310'286 fr. qui ne lui aurait jamais été remise en usufruit, en violation du mandat. On relèvera toutefois que la perte de jouissance qui aurait été propre à l'usufruitière n'est nullement établie en fait et ne saurait résulter d'une diminution de la valeur en capital. En outre, si l'appelante évoquait un dommage aux nus-propriétaires de ce chef, c'est l'usufruitière qui en répondrait à leur égard, et l'argument de la confusion retenu par le premier juge fonctionnerait alors pleinement, conformément aux considérations de l'autorité précédente résumées ci-dessus ". Il apparaît que ce considérant est difficilement compréhensible et ne permet pas en l'état de considérer que le moyen tiré de l' art. 602 CC a été traité. Le fait que la cour cantonale ait retenu l'absence de dommage au consid. 3.2 de son arrêt n'y change rien puisque dans son moyen relatif à l'application de l' art. 602 CC , l'appelante A.________ soutenait que l'obligation de restitution des biens successoraux par l'héritier qui les possédait existait indépendamment du point de savoir si la possession desdits biens avait été exercée en exécution d'un mandat. Contrairement à ce que fait valoir B.B.________ dans sa réponse au présent recours, il ne s'agissait dès lors pas à proprement parler d'une argumentation subsidiaire à celle fondée sur le droit du mandat.</w:t>
      </w:r>
    </w:p>
    <w:p>
      <w:r>
        <w:t>Vu ce qui précède, la cour cantonale a enfreint l' art. 29 Cst. , en sorte que le grief doit être admis et la cause renvoyée à l'autorité précédente pour qu'elle se prononce sur le moyen tiré de la violation de l' art. 602 CC , en indiquant clairement ses motifs. Ces considérations scellent le sort du recours sans qu'il y ait lieu d'examiner les autres griefs soulevés par la recourante.</w:t>
      </w:r>
    </w:p>
    <w:p>
      <w:r>
        <w:rPr>
          <w:b/>
        </w:rPr>
        <w:t>E. 4</w:t>
      </w:r>
    </w:p>
    <w:p>
      <w:r>
        <w:t>En conclusion, le recours doit être admis, l'arrêt attaqué annulé et la cause renvoyée à la cour cantonale pour nouvelle décision. Les frais judiciaires et les dépens seront mis solidairement à la charge de l'intimé B.B.________ - qui, bien qu'il ne soit pas responsable du vice de procédure, a cependant conclu au rejet du recours dans la mesure de sa recevabilité (art. 66 al. 1 et 68 al. 1 et 2 LTF; cf. ATF 125 I 389 consid. 5; parmi plusieurs: arrêts 5A_81/2020 du 13 novembre 2020 consid. 4; 5A_107/2019 du 19 juin 2019 consid. 3 et la jurisprudence citée) - et de C.B.________ et de D.B.________ qui, bien qu'invitées à le faire, n'ont pas formulé d'observations ni pris de conclusions en instance fédérale, de sorte qu'elles sont réputées avoir succombé (BERNARD CORBOZ, in Commentaire de la LTF, 2e éd. 2014, n° 38 ad art. 66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