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180/2017 vom 14. März 2017</w:t>
      </w:r>
    </w:p>
    <w:p>
      <w:r>
        <w:t>Bundesgericht, 2017-03-14, DE</w:t>
      </w:r>
    </w:p>
    <w:p>
      <w:r>
        <w:rPr>
          <w:b/>
        </w:rPr>
        <w:t xml:space="preserve">Quelle: </w:t>
      </w:r>
      <w:r>
        <w:t>https://mcp.opencaselaw.ch/entscheid/bger_5A_180_2017</w:t>
      </w:r>
    </w:p>
    <w:p>
      <w:r>
        <w:t>FR: TF 5A 180/2017 du 14 mars 2017</w:t>
      </w:r>
    </w:p>
    <w:p>
      <w:r>
        <w:t>IT: TF 5A 180/2017 del 14 marzo 2017</w:t>
      </w:r>
    </w:p>
    <w:p>
      <w:pPr>
        <w:pStyle w:val="Heading2"/>
      </w:pPr>
      <w:r>
        <w:t>Regeste</w:t>
      </w:r>
    </w:p>
    <w:p>
      <w:r>
        <w:t>Rechtsverweigerung / Rechtsverzögerung (Regelung des persönlichen Verkehrs) | Familienrecht</w:t>
      </w:r>
    </w:p>
    <w:p>
      <w:pPr>
        <w:pStyle w:val="Heading2"/>
      </w:pPr>
      <w:r>
        <w:t>Erwägungen</w:t>
      </w:r>
    </w:p>
    <w:p>
      <w:r>
        <w:rPr>
          <w:b/>
        </w:rPr>
        <w:t>E. 1</w:t>
      </w:r>
    </w:p>
    <w:p>
      <w:r>
        <w:t>Angefochten ist der kantonal letztinstanzliche Entscheid in einer nicht vermögensrechtlichen Zivilsache; dagegen steht die Beschwerde offen ( Art. 72 Abs. 1, Art. 75 Abs. 1 und Art. 90 BGG ). Neue Rechtsbegehren sind vor Bundesgericht unzulässig ( Art. 99 Abs. 2 BGG ). Soweit mehr oder anderes verlangt wird als von der Vorinstanz beurteilt wurde, ist darauf nicht einzutreten. Überdies kann auf eine Beschwerde nur eingetreten, soweit sie eine genügende Begründung enthält. Es ist erforderlich, in gedrängter Form darzulegen, inwiefern der angefochtene Entscheid Recht verletzt ( Art. 42 Abs. 2 BGG ), was eine Auseinandersetzung mit der Begründung des angefochtenen Entscheides erfordert ( BGE 140 III 115 E. 2 S. 116). In Bezug auf den Sachverhalt ist das Bundesgericht an den angefochtenen Entscheid gebunden ( Art. 105 Abs. 1 BGG ). Diesbezüglich sind einzig qualifizierte Willkürrügen möglich, für welche das strenge Rügeprinzip gilt (Art. 97 Abs. 1 i.V.m. Art. 106 Abs. 2 BGG ; zu den diesbezüglichen Rügeanforderungen vgl. BGE 140 III 264 E. 2.3 S. 266; 141 IV 369 E. 6.3 S. 375). Sodann sind neue Sachvorbringen grundsätzlich unzulässig ( Art. 99 Abs. 1 BGG ).</w:t>
      </w:r>
    </w:p>
    <w:p>
      <w:r>
        <w:rPr>
          <w:b/>
        </w:rPr>
        <w:t>E. 2</w:t>
      </w:r>
    </w:p>
    <w:p>
      <w:r>
        <w:t>Das Obergericht ist auf die Begehren um Nachholung abgesagter Besuche und um Übertragung der Obhut mangels entsprechender Anfechtungsobjekte und auf die aufsichtsrechtlichen Beschwerden sowie Strafklagen mangels Zuständigkeit nicht eingetreten. Im Zusammenhang mit der konkret geltend gemachten Rechtsverzögerung hat es befunden, die KESB habe am 18. Oktober 2016 eine beschwerdefähige Verfügung erlassen, womit es an einem diesbezüglichen schutzwürdigen Interesse fehle. Sodann äusserte sich das Obergericht im Zusammenhang mit den ausgefallenen Besuchsterminen ausführlich zu den Vorkehrungen des Beschwerdeführers, den Rechtsmittelmöglichkeiten und den Handlungen der KESB. Es kam zum Schluss, dass das Absetzen einzelner Besuchstermine aus begründetem Anlass in der Kompetenz des Beistandes liege und die Mutter auch die Möglichkeit haben müsse, mit dem Kind im üblichen Rahmen (einige Wochen pro Jahr) ferienhalber abwesend zu sein. In Bezug auf die allgemeinen Vorbringen wegen Rechtsverzögerung bzw. Rechtsverweigerung hielt das Obergericht fest, dass die KESB angesichts des hängigen Scheidungsverfahrens nur für dringende Kindesschutzmassnahmen zuständig wäre, wofür keine Anhaltspunkte bestünden. Schliesslich sah das Obergericht auch keine Gründe für den beantragten Beistandswechsel; der Beistand sei kompetent und ein Blick in die Akten ergebe vielmehr, dass der Umgang mit dem Beschwerdeführer äusserst anspruchsvoll sei und ausserordentlich viel Zeit und Geduld beanspruche.</w:t>
      </w:r>
    </w:p>
    <w:p>
      <w:r>
        <w:rPr>
          <w:b/>
        </w:rPr>
        <w:t>E. 3</w:t>
      </w:r>
    </w:p>
    <w:p>
      <w:r>
        <w:t>Der Beschwerdeführer bringt vor, es seien inzwischen neue Tatsachen eingetreten, nämlich die rechtskräftige Scheidung und die Entführung von C.________ durch die Mutter ins europäische Ausland, wobei vom Amtsgericht Dresden die Rückführung angeordnet worden sei, was vom Obergericht ohne Weiteres hätte herausgefunden und beachtet werden können. Die Gefährdungsmeldung sei leichtfertig umgangen und das Anfechtungsobjekt mit spitzfindigen Argumenten weggezaubert worden. Es sei eine Fechheit zu behaupten, das Besuchsrecht funktioniere. Der Beschwerdegegenstand sei offensichtlich, explizit und aktenkundig. Die illegale Besuchsrechtsverhinderung lasse den Geruch von Korruption aufkommen und habe mit Uneinsichtigkeit nichts zu tun. Die von ihm genannten Beschwerdegründe seien nicht erkannt und der Schaden weder begrenzt noch verhütet und Abhilfe möglicherweise böswillig verhindert worden. Diese Ausführungen bestehen zum einen aus neuen Sachverhaltsvorbringen, welche unzulässig sind ( Art. 99 Abs. 1 BGG ; vgl. E. 1). Ob diese überhaupt einen Wahrheitsgehalt haben, kann deshalb offen bleiben. Zum anderen bestehen sie aus Vorwürfen und pauschaler Kritik, welche nicht geeignet ist, eine Rechtsverletzung durch das Obergericht auch nur ansatzweise darzutun. Mit den zu allen Punkten ausführlichen Erwägungen des Obergerichtes setzt sich der Beschwerdeführer nicht auseinander, weshalb es insgesamt an der nötigen Beschwerdebegründung fehlt (dazu E. 1).</w:t>
      </w:r>
    </w:p>
    <w:p>
      <w:r>
        <w:rPr>
          <w:b/>
        </w:rPr>
        <w:t>E. 4</w:t>
      </w:r>
    </w:p>
    <w:p>
      <w:r>
        <w:t>Nach dem Gesagten erweist sich die Beschwerde als offensichtlich nicht hinreichend begründet und im Übrigen als querulatorisch, weshalb auf sie nicht eingetreten werden kann und der Präsident im vereinfachten Verfahren entscheidet ( Art. 108 Abs. 1 lit. b und c BGG ).</w:t>
      </w:r>
    </w:p>
    <w:p>
      <w:r>
        <w:rPr>
          <w:b/>
        </w:rPr>
        <w:t>E. 5</w:t>
      </w:r>
    </w:p>
    <w:p>
      <w:r>
        <w:t>Wie die vorstehenden Erwägungen zeigen, muss die Beschwerde als von Anfang an aussichtslos betrachtet werden, weshalb es an den materiellen Voraussetzungen der unentgeltlichen Rechtspflege mangelt ( Art. 64 Abs. 1 BGG ) und folglich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