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180/2009 vom 19. Mai 2009</w:t>
      </w:r>
    </w:p>
    <w:p>
      <w:r>
        <w:t>Bundesgericht, 2009-05-19, DE</w:t>
      </w:r>
    </w:p>
    <w:p>
      <w:r>
        <w:rPr>
          <w:b/>
        </w:rPr>
        <w:t xml:space="preserve">Quelle: </w:t>
      </w:r>
      <w:r>
        <w:t>https://mcp.opencaselaw.ch/entscheid/bger_5A_180_2009</w:t>
      </w:r>
    </w:p>
    <w:p>
      <w:r>
        <w:t>FR: TF 5A 180/2009 du 19 mai 2009</w:t>
      </w:r>
    </w:p>
    <w:p>
      <w:r>
        <w:t>IT: TF 5A 180/2009 del 19 maggio 2009</w:t>
      </w:r>
    </w:p>
    <w:p>
      <w:pPr>
        <w:pStyle w:val="Heading2"/>
      </w:pPr>
      <w:r>
        <w:t>Regeste</w:t>
      </w:r>
    </w:p>
    <w:p>
      <w:r>
        <w:t>Ausstand (Pfändungsankündigung) | Schuldbetreibungs- und Konkursrecht</w:t>
      </w:r>
    </w:p>
    <w:p>
      <w:pPr>
        <w:pStyle w:val="Heading2"/>
      </w:pPr>
      <w:r>
        <w:t>Erwägungen</w:t>
      </w:r>
    </w:p>
    <w:p>
      <w:r>
        <w:rPr>
          <w:b/>
        </w:rPr>
        <w:t>E. 1.1</w:t>
      </w:r>
    </w:p>
    <w:p>
      <w:r>
        <w:t>Entscheide der kantonalen Aufsichtbehörden in Schuldbetreibungs- und Konkurssachen sind der Beschwerde in Zivilsachen zugänglich ( Art. 72 Abs. 2 lit. a BGG ; BGE 133 III 350 E. 1.2 S. 351). Sie ist an keinen Streitwert gebunden ( Art. 74 Abs. 2 lit. d BGG ).</w:t>
      </w:r>
    </w:p>
    <w:p>
      <w:r>
        <w:rPr>
          <w:b/>
        </w:rPr>
        <w:t>E. 1.2</w:t>
      </w:r>
    </w:p>
    <w:p>
      <w:r>
        <w:t>Die Vorinstanz hat über das Ausstandsbegehren des Beschwerdeführers letztinstanzlich befunden ( Art. 75 Abs. 1 und 2 BGG ); der betreffende Zwischenentscheid ist der Hauptsache folgend anfechtbar ( Art. 92 Abs. 1 BGG ). Offen bleiben kann, ob ein aktuelles Rechtsschutzinteresse an die Beurteilung der Anträge des Beschwerdeführers besteht. Immerhin hat die Erstinstanz inzwischen bereits selber (vorläufig) über das Ablehnungsbegehren befunden. Nach Angaben der Vorinstanz ist zudem die Frage nach dem Ausstand des Gerichtspräsidenten definitiv zusammen mit dem Sachentscheid zu beantworten.</w:t>
      </w:r>
    </w:p>
    <w:p>
      <w:r>
        <w:rPr>
          <w:b/>
        </w:rPr>
        <w:t>E. 1.3</w:t>
      </w:r>
    </w:p>
    <w:p>
      <w:r>
        <w:t>Der Beschwerdeführer kann sämtliche Beschwerdegründe vorbringen und das Bundesgericht ist nicht auf die Prüfung der verfassungsmässigen Rechte beschränkt ( Art. 95 ff. BGG ).</w:t>
      </w:r>
    </w:p>
    <w:p>
      <w:r>
        <w:rPr>
          <w:b/>
        </w:rPr>
        <w:t>E. 2.1</w:t>
      </w:r>
    </w:p>
    <w:p>
      <w:r>
        <w:t>Unter Vorbehalt der bundesrechtlichen Minimalvorschriften gilt für das Verfahren vor den kantonalen Aufsichtsbehörden kantonales Recht ( Art. 20a Abs. 3 SchKG ; vgl. COMETTA, in: Basler Kommentar zum Bundesgesetz über Schuldbetreibung und Konkurs, N. 48 zu Art. 20a). Dazu gehören insbesondere auch die formellen Anforderungen an eine Beschwerde. Da die Eingabe des Beschwerdeführers an die Erstinstanz von dieser als teilweise unklar beurteilt worden war, forderte sie ihn zu einer Ergänzung auf. Statt sich unmissverständlich zu äussern, ob der Ausstand des Gerichtspräsidenten verlangt werde, stellte dieser Fragen zu Einzelheiten des Verfahrens. Daraufhin wurden die Akten zwecks Beurteilung des Ausstandsbegehren an die Vorinstanz überwiesen, welche darauf nicht eintrat, da kein hinreichendes Gesuch nach Art. 10 SchKG vorliege. Es werde vom Beschwerdeführer nicht dargetan, welche Auskunft in welchem Zusammenhang erteilt worden sei und damit eine Befangenheit des Gerichtspräsidenten im Sinne des Gesetzes begründen würde.</w:t>
      </w:r>
    </w:p>
    <w:p>
      <w:r>
        <w:rPr>
          <w:b/>
        </w:rPr>
        <w:t>E. 2.2</w:t>
      </w:r>
    </w:p>
    <w:p>
      <w:r>
        <w:t>Vor Bundesgericht macht der Beschwerdeführer geltend, das Bezirksgericht habe seine konkreten Fragen nicht beantwortet und er habe in der Folge keine Gelegenheit gehabt, das Ausstandsbegehren zu begründen. Sein rechtliches Gehör sei daher verletzt. Er legt indes nicht dar, aufgrund welcher Vorschrift des kantonalen Rechts der Gerichtspräsident ihm - zusätzlich zur bereits angesetzten Nachbesserungsfrist - noch die gewünschten Auskünfte hätte erteilen sollen. Soweit der Beschwerdeführer der Meinung sein sollte, dass ihm gestützt auf Art. 29 Abs. 2 BV ein Anspruch auf Belehrung zustehe, kann ihm nicht gefolgt werden. Der Anspruch auf rechtliches Gehör garantiert dem Betroffenen zwar, sich vor Erlass eines in seine Rechtsstellung eingreifenden Entscheides zu äussern, erhebliche Beweise beizubringen, Einsicht in die Akten zu nehmen und zu einem entscheidwesentlichen Beweisergebnis Stellung zu nehmen ( BGE 129 I 232 E. 3.2 S. 236). In welcher Form dies geschieht, legt indes das kantonale Verfahrensrecht abschliessend fest. Dass im vorliegenden Fall eine Belehrungspflicht des Richters mangels entsprechender Rüge nicht erkennbar ist, wurde bereits gesagt.</w:t>
      </w:r>
    </w:p>
    <w:p>
      <w:r>
        <w:rPr>
          <w:b/>
        </w:rPr>
        <w:t>E. 3</w:t>
      </w:r>
    </w:p>
    <w:p>
      <w:r>
        <w:t>Aus diesen Gründen ist der vorinstanzliche Nichteintretensentscheid im Ergebnis nicht zu beanstanden, soweit er aufgrund der erhobenen Rügen überhaupt überprüft werden konnte. Da der Beschwerde kein Erfolg beschieden ist,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